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BE089" w14:textId="4B866192" w:rsidR="004B30A2" w:rsidRDefault="004B30A2" w:rsidP="004B30A2">
      <w:pPr>
        <w:pStyle w:val="3GPPHeader"/>
      </w:pPr>
      <w:r>
        <w:t>3GPP TSG-RAN WG1 Meeting #90</w:t>
      </w:r>
      <w:r w:rsidR="006D7DAE">
        <w:t>bis</w:t>
      </w:r>
      <w:r>
        <w:tab/>
      </w:r>
      <w:r w:rsidR="00132D2C" w:rsidRPr="00132D2C">
        <w:t>R1-1718735</w:t>
      </w:r>
      <w:bookmarkStart w:id="0" w:name="_GoBack"/>
      <w:bookmarkEnd w:id="0"/>
    </w:p>
    <w:p w14:paraId="75337F83" w14:textId="404E33BB" w:rsidR="00740568" w:rsidRDefault="004B30A2" w:rsidP="004B30A2">
      <w:pPr>
        <w:pStyle w:val="Header"/>
      </w:pPr>
      <w:r>
        <w:t xml:space="preserve">Prague, Czech Republic, </w:t>
      </w:r>
      <w:r w:rsidR="006D7DAE" w:rsidRPr="006D7DAE">
        <w:t>9th – 13th October, 2017</w:t>
      </w:r>
    </w:p>
    <w:p w14:paraId="31904112" w14:textId="77777777" w:rsidR="004B30A2" w:rsidRDefault="004B30A2" w:rsidP="004B30A2">
      <w:pPr>
        <w:pStyle w:val="Header"/>
        <w:tabs>
          <w:tab w:val="clear" w:pos="4536"/>
          <w:tab w:val="left" w:pos="1800"/>
        </w:tabs>
        <w:ind w:left="1800" w:hanging="1800"/>
      </w:pPr>
    </w:p>
    <w:p w14:paraId="12E41307" w14:textId="5AC5E6C8" w:rsidR="00EA7BAE" w:rsidRPr="009D2B97" w:rsidRDefault="00EA7BAE" w:rsidP="00EA7BAE">
      <w:pPr>
        <w:pStyle w:val="Header"/>
        <w:tabs>
          <w:tab w:val="clear" w:pos="4536"/>
          <w:tab w:val="left" w:pos="1800"/>
        </w:tabs>
        <w:ind w:left="1800" w:hanging="1800"/>
      </w:pPr>
      <w:r w:rsidRPr="009D2B97">
        <w:t>Source:</w:t>
      </w:r>
      <w:r w:rsidRPr="009D2B97">
        <w:tab/>
        <w:t>Ericsson</w:t>
      </w:r>
    </w:p>
    <w:p w14:paraId="52BAB09C" w14:textId="6A37BBC3" w:rsidR="00EA7BAE" w:rsidRPr="001D2394" w:rsidRDefault="00EA7BAE" w:rsidP="00EA7BAE">
      <w:pPr>
        <w:pStyle w:val="Header"/>
        <w:tabs>
          <w:tab w:val="clear" w:pos="4536"/>
          <w:tab w:val="left" w:pos="1800"/>
        </w:tabs>
      </w:pPr>
      <w:r w:rsidRPr="009D2B97">
        <w:t>Title:</w:t>
      </w:r>
      <w:bookmarkStart w:id="1" w:name="Title"/>
      <w:bookmarkEnd w:id="1"/>
      <w:r w:rsidRPr="009D2B97">
        <w:tab/>
      </w:r>
      <w:r w:rsidR="0083165F">
        <w:t xml:space="preserve">Details of </w:t>
      </w:r>
      <w:r w:rsidR="00D56985">
        <w:t xml:space="preserve">CSI Feedback </w:t>
      </w:r>
      <w:r w:rsidR="00DE191D">
        <w:t xml:space="preserve">for </w:t>
      </w:r>
      <w:r w:rsidR="00D56985">
        <w:t>T</w:t>
      </w:r>
      <w:r w:rsidR="00D56985" w:rsidRPr="00D56985">
        <w:t>ransparent PDSCH TxD</w:t>
      </w:r>
    </w:p>
    <w:p w14:paraId="5F162BEF" w14:textId="0FDB1F65"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6D7DAE">
        <w:t>7.2.2.6</w:t>
      </w:r>
    </w:p>
    <w:p w14:paraId="70A052CD"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519580A7" w14:textId="77777777" w:rsidR="00795DB8" w:rsidRPr="009D2B97" w:rsidRDefault="00795DB8" w:rsidP="00EA7BAE">
      <w:pPr>
        <w:pBdr>
          <w:bottom w:val="single" w:sz="4" w:space="1" w:color="auto"/>
        </w:pBdr>
        <w:tabs>
          <w:tab w:val="left" w:pos="2552"/>
        </w:tabs>
      </w:pPr>
    </w:p>
    <w:p w14:paraId="1ABD5771" w14:textId="060C07D0" w:rsidR="004E3F86" w:rsidRDefault="00AF1102" w:rsidP="00A60380">
      <w:pPr>
        <w:pStyle w:val="Heading1"/>
      </w:pPr>
      <w:r w:rsidRPr="003178F4">
        <w:t>Introduction</w:t>
      </w:r>
    </w:p>
    <w:p w14:paraId="6CD04984" w14:textId="608980B3" w:rsidR="00A5248E" w:rsidRDefault="00303B13" w:rsidP="006B6A77">
      <w:pPr>
        <w:pStyle w:val="BodyText"/>
      </w:pPr>
      <w:r>
        <w:t xml:space="preserve">In </w:t>
      </w:r>
      <w:r w:rsidR="00E678A3">
        <w:t xml:space="preserve">the third RAN1 </w:t>
      </w:r>
      <w:proofErr w:type="spellStart"/>
      <w:r w:rsidR="00E678A3">
        <w:t>Adhoc</w:t>
      </w:r>
      <w:proofErr w:type="spellEnd"/>
      <w:r w:rsidR="00E678A3">
        <w:t xml:space="preserve"> in September</w:t>
      </w:r>
      <w:r>
        <w:t xml:space="preserve">, </w:t>
      </w:r>
      <w:r w:rsidR="00F103CC">
        <w:t xml:space="preserve">the following decision was reached for </w:t>
      </w:r>
      <w:r w:rsidR="00722E32">
        <w:t xml:space="preserve">CSI feedback to support transparent </w:t>
      </w:r>
      <w:r w:rsidR="00F103CC">
        <w:t>PUSCH transmit diversity</w:t>
      </w:r>
      <w:r w:rsidR="00722E32">
        <w:t xml:space="preserve"> using semi-open loop operation</w:t>
      </w:r>
      <w:r w:rsidR="00524CD2">
        <w:t xml:space="preserve"> </w:t>
      </w:r>
      <w:r w:rsidR="004F6458">
        <w:fldChar w:fldCharType="begin"/>
      </w:r>
      <w:r w:rsidR="004F6458">
        <w:instrText xml:space="preserve"> REF _Ref494474111 \r \h </w:instrText>
      </w:r>
      <w:r w:rsidR="004F6458">
        <w:fldChar w:fldCharType="separate"/>
      </w:r>
      <w:r w:rsidR="004F6458">
        <w:t>[1]</w:t>
      </w:r>
      <w:r w:rsidR="004F6458">
        <w:fldChar w:fldCharType="end"/>
      </w:r>
      <w:r w:rsidR="00F103CC">
        <w:t>:</w:t>
      </w:r>
    </w:p>
    <w:p w14:paraId="5E601379" w14:textId="77777777" w:rsidR="00F103CC" w:rsidRPr="003718EF" w:rsidRDefault="00F103CC" w:rsidP="00F103CC">
      <w:pPr>
        <w:rPr>
          <w:rFonts w:eastAsia="MS Mincho"/>
          <w:iCs/>
          <w:szCs w:val="20"/>
          <w:lang w:eastAsia="ja-JP"/>
        </w:rPr>
      </w:pPr>
      <w:r w:rsidRPr="004F6458">
        <w:rPr>
          <w:rFonts w:eastAsia="MS Mincho"/>
          <w:iCs/>
          <w:szCs w:val="20"/>
          <w:highlight w:val="green"/>
          <w:u w:val="single"/>
          <w:lang w:eastAsia="ja-JP"/>
        </w:rPr>
        <w:t>Agreements</w:t>
      </w:r>
      <w:r w:rsidRPr="003718EF">
        <w:rPr>
          <w:rFonts w:eastAsia="MS Mincho"/>
          <w:iCs/>
          <w:szCs w:val="20"/>
          <w:lang w:eastAsia="ja-JP"/>
        </w:rPr>
        <w:t>:</w:t>
      </w:r>
    </w:p>
    <w:p w14:paraId="7E66F15B" w14:textId="77777777" w:rsidR="00E678A3" w:rsidRPr="00E678A3" w:rsidRDefault="00E678A3" w:rsidP="00E678A3">
      <w:pPr>
        <w:numPr>
          <w:ilvl w:val="0"/>
          <w:numId w:val="20"/>
        </w:numPr>
        <w:contextualSpacing/>
        <w:textAlignment w:val="baseline"/>
        <w:rPr>
          <w:color w:val="00A9D4"/>
        </w:rPr>
      </w:pPr>
      <w:r w:rsidRPr="00E678A3">
        <w:rPr>
          <w:rFonts w:ascii="Arial" w:hAnsi="Arial" w:cs="Arial"/>
          <w:color w:val="080808"/>
          <w:szCs w:val="40"/>
        </w:rPr>
        <w:t>A CSI report can contain only PMI consisting of only i1 using Type I single panel codebook and CRI/RI</w:t>
      </w:r>
    </w:p>
    <w:p w14:paraId="4E46308F" w14:textId="77777777" w:rsidR="00E678A3" w:rsidRPr="00E678A3" w:rsidRDefault="00E678A3" w:rsidP="00E678A3">
      <w:pPr>
        <w:numPr>
          <w:ilvl w:val="1"/>
          <w:numId w:val="20"/>
        </w:numPr>
        <w:contextualSpacing/>
        <w:textAlignment w:val="baseline"/>
        <w:rPr>
          <w:color w:val="00A9D4"/>
        </w:rPr>
      </w:pPr>
      <w:r w:rsidRPr="00E678A3">
        <w:rPr>
          <w:rFonts w:ascii="Arial" w:hAnsi="Arial" w:cs="Arial"/>
          <w:color w:val="080808"/>
          <w:szCs w:val="40"/>
        </w:rPr>
        <w:t xml:space="preserve">Note: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w:t>
      </w:r>
      <w:r w:rsidRPr="00E678A3">
        <w:rPr>
          <w:rFonts w:ascii="Arial" w:hAnsi="Arial" w:cs="Arial"/>
          <w:color w:val="080808"/>
          <w:szCs w:val="40"/>
        </w:rPr>
        <w:t xml:space="preserve"> identifies a combination of variables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1,1</w:t>
      </w:r>
      <w:r w:rsidRPr="00E678A3">
        <w:rPr>
          <w:rFonts w:ascii="Arial" w:hAnsi="Arial" w:cs="Arial"/>
          <w:color w:val="080808"/>
          <w:szCs w:val="40"/>
        </w:rPr>
        <w:t xml:space="preserve"> and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1,2</w:t>
      </w:r>
      <w:r w:rsidRPr="00E678A3">
        <w:rPr>
          <w:rFonts w:ascii="Arial" w:hAnsi="Arial" w:cs="Arial"/>
          <w:color w:val="080808"/>
          <w:szCs w:val="40"/>
        </w:rPr>
        <w:t>} or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1,1</w:t>
      </w:r>
      <w:r w:rsidRPr="00E678A3">
        <w:rPr>
          <w:rFonts w:ascii="Arial" w:hAnsi="Arial" w:cs="Arial"/>
          <w:color w:val="080808"/>
          <w:szCs w:val="40"/>
        </w:rPr>
        <w:t xml:space="preserve"> ,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1,2</w:t>
      </w:r>
      <w:r w:rsidRPr="00E678A3">
        <w:rPr>
          <w:rFonts w:ascii="Arial" w:hAnsi="Arial" w:cs="Arial"/>
          <w:color w:val="080808"/>
          <w:szCs w:val="40"/>
        </w:rPr>
        <w:t xml:space="preserve">, and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1,3</w:t>
      </w:r>
      <w:r w:rsidRPr="00E678A3">
        <w:rPr>
          <w:rFonts w:ascii="Arial" w:hAnsi="Arial" w:cs="Arial"/>
          <w:color w:val="080808"/>
          <w:szCs w:val="40"/>
        </w:rPr>
        <w:t>} in 38.214 section 5.2.1.2</w:t>
      </w:r>
    </w:p>
    <w:p w14:paraId="75C1CB91" w14:textId="7FABF27C" w:rsidR="00E678A3" w:rsidRPr="00E678A3" w:rsidRDefault="00E678A3" w:rsidP="00E678A3">
      <w:pPr>
        <w:numPr>
          <w:ilvl w:val="0"/>
          <w:numId w:val="20"/>
        </w:numPr>
        <w:contextualSpacing/>
        <w:textAlignment w:val="baseline"/>
        <w:rPr>
          <w:color w:val="00A9D4"/>
        </w:rPr>
      </w:pPr>
      <w:r w:rsidRPr="00E678A3">
        <w:rPr>
          <w:rFonts w:ascii="Arial" w:hAnsi="Arial" w:cs="Arial"/>
          <w:color w:val="080808"/>
          <w:szCs w:val="40"/>
        </w:rPr>
        <w:t>A CSI report can contain only PMI consisting of only i1 using Ty</w:t>
      </w:r>
      <w:r>
        <w:rPr>
          <w:rFonts w:ascii="Arial" w:hAnsi="Arial" w:cs="Arial"/>
          <w:color w:val="080808"/>
          <w:szCs w:val="40"/>
        </w:rPr>
        <w:t>pe I single panel codebook, CQI,</w:t>
      </w:r>
      <w:r w:rsidRPr="00E678A3">
        <w:rPr>
          <w:rFonts w:ascii="Arial" w:hAnsi="Arial" w:cs="Arial"/>
          <w:color w:val="080808"/>
          <w:szCs w:val="40"/>
        </w:rPr>
        <w:t xml:space="preserve"> and CRI/RI, computing CQI assuming PDSCH transmission with Np≥1 precoders, where</w:t>
      </w:r>
    </w:p>
    <w:p w14:paraId="26AB6FEA" w14:textId="77777777" w:rsidR="00E678A3" w:rsidRPr="00E678A3" w:rsidRDefault="00E678A3" w:rsidP="00E678A3">
      <w:pPr>
        <w:numPr>
          <w:ilvl w:val="1"/>
          <w:numId w:val="20"/>
        </w:numPr>
        <w:contextualSpacing/>
        <w:textAlignment w:val="baseline"/>
        <w:rPr>
          <w:color w:val="00A9D4"/>
        </w:rPr>
      </w:pPr>
      <w:r w:rsidRPr="00E678A3">
        <w:rPr>
          <w:rFonts w:ascii="Arial" w:hAnsi="Arial" w:cs="Arial"/>
          <w:color w:val="080808"/>
          <w:szCs w:val="40"/>
        </w:rPr>
        <w:t>UE can assume that one precoder is randomly selected from the set of Np precoders for each PRG on PDSCH</w:t>
      </w:r>
    </w:p>
    <w:p w14:paraId="19F12FC3" w14:textId="77777777" w:rsidR="00E678A3" w:rsidRPr="00E678A3" w:rsidRDefault="00E678A3" w:rsidP="00E678A3">
      <w:pPr>
        <w:numPr>
          <w:ilvl w:val="2"/>
          <w:numId w:val="20"/>
        </w:numPr>
        <w:contextualSpacing/>
        <w:textAlignment w:val="baseline"/>
        <w:rPr>
          <w:color w:val="00A9D4"/>
        </w:rPr>
      </w:pPr>
      <w:r w:rsidRPr="00E678A3">
        <w:rPr>
          <w:rFonts w:ascii="Arial" w:hAnsi="Arial" w:cs="Arial"/>
          <w:color w:val="080808"/>
          <w:szCs w:val="40"/>
        </w:rPr>
        <w:t>The PRG size in CSI feedback is RRC configured</w:t>
      </w:r>
    </w:p>
    <w:p w14:paraId="54C217D1" w14:textId="77777777" w:rsidR="00E678A3" w:rsidRPr="00E678A3" w:rsidRDefault="00E678A3" w:rsidP="00E678A3">
      <w:pPr>
        <w:numPr>
          <w:ilvl w:val="1"/>
          <w:numId w:val="20"/>
        </w:numPr>
        <w:contextualSpacing/>
        <w:textAlignment w:val="baseline"/>
        <w:rPr>
          <w:color w:val="00A9D4"/>
          <w:sz w:val="22"/>
        </w:rPr>
      </w:pPr>
      <w:r w:rsidRPr="00E678A3">
        <w:rPr>
          <w:rFonts w:ascii="Arial" w:hAnsi="Arial" w:cs="Arial"/>
          <w:color w:val="080808"/>
          <w:szCs w:val="40"/>
        </w:rPr>
        <w:t>The set of Np precoders for CQI calculation are indicated by codebook subset restriction</w:t>
      </w:r>
    </w:p>
    <w:p w14:paraId="25C17279" w14:textId="766D464A" w:rsidR="00F103CC" w:rsidRDefault="00F103CC" w:rsidP="00760E2E">
      <w:pPr>
        <w:spacing w:after="120"/>
        <w:jc w:val="both"/>
        <w:rPr>
          <w:szCs w:val="20"/>
          <w:lang w:eastAsia="ja-JP"/>
        </w:rPr>
      </w:pPr>
    </w:p>
    <w:p w14:paraId="592E85AF" w14:textId="355A0E3C" w:rsidR="00722E32" w:rsidRDefault="00722E32" w:rsidP="00760E2E">
      <w:pPr>
        <w:spacing w:after="120"/>
        <w:jc w:val="both"/>
        <w:rPr>
          <w:szCs w:val="20"/>
          <w:lang w:eastAsia="ja-JP"/>
        </w:rPr>
      </w:pPr>
      <w:r>
        <w:rPr>
          <w:szCs w:val="20"/>
          <w:lang w:eastAsia="ja-JP"/>
        </w:rPr>
        <w:t>This contribution considers remaining details of CSI feedback supporting transparent transmit diversity that are left open from the above agreement.  Proposals are made to address these open issues.</w:t>
      </w:r>
    </w:p>
    <w:p w14:paraId="4DE709DF" w14:textId="061F3E6E" w:rsidR="005C5FFA" w:rsidRDefault="00722E32" w:rsidP="00B14CEA">
      <w:pPr>
        <w:pStyle w:val="Heading1"/>
      </w:pPr>
      <w:r>
        <w:t>Open Issues</w:t>
      </w:r>
    </w:p>
    <w:p w14:paraId="542B8D8E" w14:textId="4E572402" w:rsidR="00722E32" w:rsidRDefault="00722E32" w:rsidP="00722E32">
      <w:pPr>
        <w:pStyle w:val="Heading2"/>
        <w:rPr>
          <w:lang w:eastAsia="ja-JP"/>
        </w:rPr>
      </w:pPr>
      <w:r>
        <w:rPr>
          <w:lang w:eastAsia="ja-JP"/>
        </w:rPr>
        <w:t>Definition of PRG Size for CSI Feedback</w:t>
      </w:r>
    </w:p>
    <w:p w14:paraId="2A384E4E" w14:textId="0848F9C2" w:rsidR="00C93C1C" w:rsidRDefault="00290E3A" w:rsidP="00722E32">
      <w:pPr>
        <w:spacing w:after="120"/>
        <w:jc w:val="both"/>
        <w:rPr>
          <w:szCs w:val="20"/>
          <w:lang w:eastAsia="ja-JP"/>
        </w:rPr>
      </w:pPr>
      <w:r>
        <w:rPr>
          <w:szCs w:val="20"/>
          <w:lang w:eastAsia="ja-JP"/>
        </w:rPr>
        <w:t xml:space="preserve">Some PRG size assumption is needed in the UE’s calculations of CSI feedback (using the randomly selected precoders) to support the above agreement.  The solution </w:t>
      </w:r>
      <w:r w:rsidR="001F1E21">
        <w:rPr>
          <w:szCs w:val="20"/>
          <w:lang w:eastAsia="ja-JP"/>
        </w:rPr>
        <w:t xml:space="preserve">in </w:t>
      </w:r>
      <w:r>
        <w:rPr>
          <w:szCs w:val="20"/>
          <w:lang w:eastAsia="ja-JP"/>
        </w:rPr>
        <w:t xml:space="preserve">the agreement </w:t>
      </w:r>
      <w:r w:rsidR="001F1E21">
        <w:rPr>
          <w:szCs w:val="20"/>
          <w:lang w:eastAsia="ja-JP"/>
        </w:rPr>
        <w:t xml:space="preserve">is </w:t>
      </w:r>
      <w:r>
        <w:rPr>
          <w:szCs w:val="20"/>
          <w:lang w:eastAsia="ja-JP"/>
        </w:rPr>
        <w:t xml:space="preserve">that the </w:t>
      </w:r>
      <w:r w:rsidR="00722E32">
        <w:rPr>
          <w:szCs w:val="20"/>
          <w:lang w:eastAsia="ja-JP"/>
        </w:rPr>
        <w:t xml:space="preserve">PRG size for CSI </w:t>
      </w:r>
      <w:r w:rsidR="004F6458">
        <w:rPr>
          <w:szCs w:val="20"/>
          <w:lang w:eastAsia="ja-JP"/>
        </w:rPr>
        <w:t xml:space="preserve">reporting </w:t>
      </w:r>
      <w:r>
        <w:rPr>
          <w:szCs w:val="20"/>
          <w:lang w:eastAsia="ja-JP"/>
        </w:rPr>
        <w:t xml:space="preserve">is </w:t>
      </w:r>
      <w:r w:rsidR="004F6458">
        <w:rPr>
          <w:szCs w:val="20"/>
          <w:lang w:eastAsia="ja-JP"/>
        </w:rPr>
        <w:t xml:space="preserve">configured by RRC.  </w:t>
      </w:r>
      <w:r>
        <w:rPr>
          <w:szCs w:val="20"/>
          <w:lang w:eastAsia="ja-JP"/>
        </w:rPr>
        <w:t xml:space="preserve">Since there </w:t>
      </w:r>
      <w:r w:rsidR="00C93C1C">
        <w:rPr>
          <w:szCs w:val="20"/>
          <w:lang w:eastAsia="ja-JP"/>
        </w:rPr>
        <w:t xml:space="preserve">is </w:t>
      </w:r>
      <w:r w:rsidR="004F6458">
        <w:rPr>
          <w:szCs w:val="20"/>
          <w:lang w:eastAsia="ja-JP"/>
        </w:rPr>
        <w:t>no limitation</w:t>
      </w:r>
      <w:r w:rsidR="00C93C1C">
        <w:rPr>
          <w:szCs w:val="20"/>
          <w:lang w:eastAsia="ja-JP"/>
        </w:rPr>
        <w:t xml:space="preserve"> to use the PRG size for PDSCH</w:t>
      </w:r>
      <w:r w:rsidR="004F6458">
        <w:rPr>
          <w:szCs w:val="20"/>
          <w:lang w:eastAsia="ja-JP"/>
        </w:rPr>
        <w:t xml:space="preserve">, the CSI reporting PRG size can be configured independently from </w:t>
      </w:r>
      <w:r w:rsidR="00C93C1C">
        <w:rPr>
          <w:szCs w:val="20"/>
          <w:lang w:eastAsia="ja-JP"/>
        </w:rPr>
        <w:t xml:space="preserve">that of </w:t>
      </w:r>
      <w:r w:rsidR="00722E32">
        <w:rPr>
          <w:szCs w:val="20"/>
          <w:lang w:eastAsia="ja-JP"/>
        </w:rPr>
        <w:t>PDSCH</w:t>
      </w:r>
      <w:r w:rsidR="00C93C1C">
        <w:rPr>
          <w:szCs w:val="20"/>
          <w:lang w:eastAsia="ja-JP"/>
        </w:rPr>
        <w:t xml:space="preserve">, and it is possible that different PRG sizes could be used for CSI reporting and for PDSCH reception.  </w:t>
      </w:r>
      <w:r w:rsidR="00DE6757">
        <w:rPr>
          <w:szCs w:val="20"/>
          <w:lang w:eastAsia="ja-JP"/>
        </w:rPr>
        <w:t xml:space="preserve">Our understanding of the motivation for this independent configuration is that it allows a UE with multiple CSI reporting settings to provide CSI reports both with and without transparent TxD assumed.  </w:t>
      </w:r>
      <w:r w:rsidR="00C93C1C">
        <w:rPr>
          <w:szCs w:val="20"/>
          <w:lang w:eastAsia="ja-JP"/>
        </w:rPr>
        <w:t>However, since the motivation of CSI feedback for transparent TxD is to better match the CSI reporting to the PDSCH transmission, there is no reason to use a different PRG size for the CSI feedback from that used for PDSCH transmission.</w:t>
      </w:r>
    </w:p>
    <w:p w14:paraId="7BB1B07C" w14:textId="2651F1FA" w:rsidR="007D3ABC" w:rsidRDefault="007D3ABC" w:rsidP="00722E32">
      <w:pPr>
        <w:spacing w:after="120"/>
        <w:jc w:val="both"/>
        <w:rPr>
          <w:szCs w:val="20"/>
          <w:lang w:eastAsia="ja-JP"/>
        </w:rPr>
      </w:pPr>
      <w:r>
        <w:rPr>
          <w:szCs w:val="20"/>
          <w:lang w:eastAsia="ja-JP"/>
        </w:rPr>
        <w:t xml:space="preserve">We further note that the ability to configure PRG size is conditioned on (is a sub bullet of) the </w:t>
      </w:r>
      <w:r w:rsidR="00C50906">
        <w:rPr>
          <w:szCs w:val="20"/>
          <w:lang w:eastAsia="ja-JP"/>
        </w:rPr>
        <w:t xml:space="preserve">UE </w:t>
      </w:r>
      <w:r>
        <w:rPr>
          <w:szCs w:val="20"/>
          <w:lang w:eastAsia="ja-JP"/>
        </w:rPr>
        <w:t>assumption that a precoder is randomly selected.  Configurable PRG size for other use cases was not agreed, and would in general complicate CSI feedback</w:t>
      </w:r>
      <w:r w:rsidR="000C641D">
        <w:rPr>
          <w:szCs w:val="20"/>
          <w:lang w:eastAsia="ja-JP"/>
        </w:rPr>
        <w:t xml:space="preserve"> without a clear motivation.</w:t>
      </w:r>
    </w:p>
    <w:p w14:paraId="03C213B4" w14:textId="4C050000" w:rsidR="00722E32" w:rsidRDefault="00C93C1C" w:rsidP="000C641D">
      <w:pPr>
        <w:jc w:val="both"/>
        <w:rPr>
          <w:szCs w:val="20"/>
          <w:lang w:eastAsia="ja-JP"/>
        </w:rPr>
      </w:pPr>
      <w:r w:rsidRPr="000C641D">
        <w:rPr>
          <w:b/>
          <w:szCs w:val="20"/>
          <w:lang w:eastAsia="ja-JP"/>
        </w:rPr>
        <w:t>Observation</w:t>
      </w:r>
      <w:r w:rsidR="00CB45D2" w:rsidRPr="000C641D">
        <w:rPr>
          <w:b/>
          <w:szCs w:val="20"/>
          <w:lang w:eastAsia="ja-JP"/>
        </w:rPr>
        <w:t>s</w:t>
      </w:r>
      <w:r>
        <w:rPr>
          <w:szCs w:val="20"/>
          <w:lang w:eastAsia="ja-JP"/>
        </w:rPr>
        <w:t>:</w:t>
      </w:r>
    </w:p>
    <w:p w14:paraId="4011D650" w14:textId="0F52289B" w:rsidR="00C93C1C" w:rsidRPr="00443F13" w:rsidRDefault="00C93C1C" w:rsidP="000C641D">
      <w:pPr>
        <w:pStyle w:val="ListParagraph"/>
        <w:numPr>
          <w:ilvl w:val="0"/>
          <w:numId w:val="22"/>
        </w:numPr>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Independent PRG sizes for transparent TxD CSI feedback and for PDSCH reception enables CSI reporting hypotheses with and without transparent TxD.</w:t>
      </w:r>
    </w:p>
    <w:p w14:paraId="5DEC6D9E" w14:textId="081C9822" w:rsidR="00C93C1C" w:rsidRPr="000C641D" w:rsidRDefault="00CB45D2" w:rsidP="000C641D">
      <w:pPr>
        <w:pStyle w:val="ListParagraph"/>
        <w:numPr>
          <w:ilvl w:val="0"/>
          <w:numId w:val="22"/>
        </w:numPr>
        <w:spacing w:after="120"/>
        <w:jc w:val="both"/>
        <w:rPr>
          <w:szCs w:val="20"/>
          <w:lang w:eastAsia="ja-JP"/>
        </w:rPr>
      </w:pPr>
      <w:r w:rsidRPr="00443F13">
        <w:rPr>
          <w:rFonts w:ascii="Times New Roman" w:hAnsi="Times New Roman" w:cs="Times New Roman"/>
          <w:sz w:val="20"/>
          <w:szCs w:val="20"/>
          <w:lang w:eastAsia="ja-JP"/>
        </w:rPr>
        <w:t xml:space="preserve">CSI feedback accuracy motivates the use of TxD CSI reporting, and so PRG sizes should be aligned for PDSCH and CSI feedback </w:t>
      </w:r>
    </w:p>
    <w:p w14:paraId="03BC312C" w14:textId="0866E698" w:rsidR="007D3ABC" w:rsidRDefault="007D3ABC" w:rsidP="000C641D">
      <w:pPr>
        <w:jc w:val="both"/>
        <w:rPr>
          <w:szCs w:val="20"/>
          <w:lang w:eastAsia="ja-JP"/>
        </w:rPr>
      </w:pPr>
      <w:r w:rsidRPr="000C641D">
        <w:rPr>
          <w:b/>
          <w:szCs w:val="20"/>
          <w:lang w:eastAsia="ja-JP"/>
        </w:rPr>
        <w:t>Clarification of agreement</w:t>
      </w:r>
      <w:r>
        <w:rPr>
          <w:szCs w:val="20"/>
          <w:lang w:eastAsia="ja-JP"/>
        </w:rPr>
        <w:t>:</w:t>
      </w:r>
    </w:p>
    <w:p w14:paraId="6EA90D30" w14:textId="2DA69B8D" w:rsidR="007D3ABC" w:rsidRPr="00443F13" w:rsidRDefault="007D3ABC" w:rsidP="00443F13">
      <w:pPr>
        <w:pStyle w:val="ListParagraph"/>
        <w:numPr>
          <w:ilvl w:val="0"/>
          <w:numId w:val="22"/>
        </w:numPr>
        <w:spacing w:after="120"/>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Configuring PRG size for CSI feedback independently of PRG size for PDSCH is only supported when the UE can assume that a precoder is randomly selected</w:t>
      </w:r>
      <w:r w:rsidR="00443F13">
        <w:rPr>
          <w:rFonts w:ascii="Times New Roman" w:hAnsi="Times New Roman" w:cs="Times New Roman"/>
          <w:sz w:val="20"/>
          <w:szCs w:val="20"/>
          <w:lang w:eastAsia="ja-JP"/>
        </w:rPr>
        <w:t>.</w:t>
      </w:r>
      <w:r w:rsidRPr="00443F13">
        <w:rPr>
          <w:rFonts w:ascii="Times New Roman" w:hAnsi="Times New Roman" w:cs="Times New Roman"/>
          <w:sz w:val="20"/>
          <w:szCs w:val="20"/>
          <w:lang w:eastAsia="ja-JP"/>
        </w:rPr>
        <w:t xml:space="preserve"> </w:t>
      </w:r>
    </w:p>
    <w:p w14:paraId="28814646" w14:textId="7A35F9C7" w:rsidR="00C93C1C" w:rsidRDefault="00C93C1C" w:rsidP="00DE6757">
      <w:pPr>
        <w:keepNext/>
        <w:jc w:val="both"/>
        <w:rPr>
          <w:szCs w:val="20"/>
          <w:lang w:eastAsia="ja-JP"/>
        </w:rPr>
      </w:pPr>
      <w:r w:rsidRPr="000C641D">
        <w:rPr>
          <w:b/>
          <w:szCs w:val="20"/>
          <w:lang w:eastAsia="ja-JP"/>
        </w:rPr>
        <w:lastRenderedPageBreak/>
        <w:t>Proposal</w:t>
      </w:r>
      <w:r>
        <w:rPr>
          <w:szCs w:val="20"/>
          <w:lang w:eastAsia="ja-JP"/>
        </w:rPr>
        <w:t>:</w:t>
      </w:r>
    </w:p>
    <w:p w14:paraId="3FF408D6" w14:textId="0716513F" w:rsidR="00C93C1C" w:rsidRPr="00443F13" w:rsidRDefault="00C93C1C" w:rsidP="00443F13">
      <w:pPr>
        <w:pStyle w:val="ListParagraph"/>
        <w:numPr>
          <w:ilvl w:val="0"/>
          <w:numId w:val="22"/>
        </w:numPr>
        <w:spacing w:after="120"/>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The same set of PRG sizes is used for CSI feedback as for PDSCH reception.</w:t>
      </w:r>
    </w:p>
    <w:p w14:paraId="01E9FDCE" w14:textId="0E69D8C0" w:rsidR="00CB45D2" w:rsidRPr="00443F13" w:rsidRDefault="00CB45D2" w:rsidP="00443F13">
      <w:pPr>
        <w:spacing w:after="120"/>
        <w:jc w:val="both"/>
        <w:rPr>
          <w:szCs w:val="20"/>
          <w:lang w:eastAsia="ja-JP"/>
        </w:rPr>
      </w:pPr>
      <w:r w:rsidRPr="00443F13">
        <w:rPr>
          <w:szCs w:val="20"/>
          <w:lang w:eastAsia="ja-JP"/>
        </w:rPr>
        <w:t>In LTE, DMRS and PDSCH can be assume</w:t>
      </w:r>
      <w:r w:rsidR="00552104" w:rsidRPr="00443F13">
        <w:rPr>
          <w:szCs w:val="20"/>
          <w:lang w:eastAsia="ja-JP"/>
        </w:rPr>
        <w:t>d</w:t>
      </w:r>
      <w:r w:rsidRPr="00443F13">
        <w:rPr>
          <w:szCs w:val="20"/>
          <w:lang w:eastAsia="ja-JP"/>
        </w:rPr>
        <w:t xml:space="preserve"> to use the same precoder over a PRG, and the CSI reflects this.  </w:t>
      </w:r>
      <w:r w:rsidR="00552104" w:rsidRPr="00443F13">
        <w:rPr>
          <w:szCs w:val="20"/>
          <w:lang w:eastAsia="ja-JP"/>
        </w:rPr>
        <w:t xml:space="preserve">However, PRG size can now be configured differently for PDSCH and for CSI feedback.  Therefore, </w:t>
      </w:r>
      <w:r w:rsidR="00E156AE" w:rsidRPr="00443F13">
        <w:rPr>
          <w:szCs w:val="20"/>
          <w:lang w:eastAsia="ja-JP"/>
        </w:rPr>
        <w:t>a definition is needed on what PRG size means in the context of CSI feedback only.  We see no need to change it from what is in LTE, and so propose:</w:t>
      </w:r>
    </w:p>
    <w:p w14:paraId="6482043F" w14:textId="77777777" w:rsidR="000C641D" w:rsidRDefault="000C641D" w:rsidP="000C641D">
      <w:pPr>
        <w:jc w:val="both"/>
        <w:rPr>
          <w:szCs w:val="20"/>
          <w:lang w:eastAsia="ja-JP"/>
        </w:rPr>
      </w:pPr>
      <w:r w:rsidRPr="000C641D">
        <w:rPr>
          <w:b/>
          <w:szCs w:val="20"/>
          <w:lang w:eastAsia="ja-JP"/>
        </w:rPr>
        <w:t>Proposal</w:t>
      </w:r>
      <w:r>
        <w:rPr>
          <w:szCs w:val="20"/>
          <w:lang w:eastAsia="ja-JP"/>
        </w:rPr>
        <w:t>:</w:t>
      </w:r>
    </w:p>
    <w:p w14:paraId="4E135D77" w14:textId="6D030768" w:rsidR="00E156AE" w:rsidRDefault="00E156AE" w:rsidP="00443F13">
      <w:pPr>
        <w:pStyle w:val="ListParagraph"/>
        <w:numPr>
          <w:ilvl w:val="0"/>
          <w:numId w:val="22"/>
        </w:numPr>
        <w:spacing w:after="120"/>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In CSI feedback</w:t>
      </w:r>
      <w:r w:rsidR="000C641D" w:rsidRPr="00443F13">
        <w:rPr>
          <w:rFonts w:ascii="Times New Roman" w:hAnsi="Times New Roman" w:cs="Times New Roman"/>
          <w:sz w:val="20"/>
          <w:szCs w:val="20"/>
          <w:lang w:eastAsia="ja-JP"/>
        </w:rPr>
        <w:t xml:space="preserve"> with a configured PRG size</w:t>
      </w:r>
      <w:r w:rsidRPr="00443F13">
        <w:rPr>
          <w:rFonts w:ascii="Times New Roman" w:hAnsi="Times New Roman" w:cs="Times New Roman"/>
          <w:sz w:val="20"/>
          <w:szCs w:val="20"/>
          <w:lang w:eastAsia="ja-JP"/>
        </w:rPr>
        <w:t>, the UE may assume that the same precoder applies on all scheduled PRBs within a PRG</w:t>
      </w:r>
    </w:p>
    <w:p w14:paraId="0D7BB5B2" w14:textId="4A1C0291" w:rsidR="00722E32" w:rsidRDefault="00722E32" w:rsidP="00722E32">
      <w:pPr>
        <w:pStyle w:val="Heading2"/>
        <w:rPr>
          <w:lang w:eastAsia="ja-JP"/>
        </w:rPr>
      </w:pPr>
      <w:r>
        <w:rPr>
          <w:lang w:eastAsia="ja-JP"/>
        </w:rPr>
        <w:t>Probability Distribution for Random Precoder Selection</w:t>
      </w:r>
    </w:p>
    <w:p w14:paraId="5DF61AEB" w14:textId="54FF898F" w:rsidR="00722E32" w:rsidRDefault="00443F13" w:rsidP="00722E32">
      <w:pPr>
        <w:spacing w:after="120"/>
        <w:jc w:val="both"/>
        <w:rPr>
          <w:szCs w:val="20"/>
          <w:lang w:eastAsia="ja-JP"/>
        </w:rPr>
      </w:pPr>
      <w:r>
        <w:rPr>
          <w:szCs w:val="20"/>
          <w:lang w:eastAsia="ja-JP"/>
        </w:rPr>
        <w:t xml:space="preserve">According to the agreement, the precoder for a given PRG is assumed to be randomly selected by the UE in its CSI feedback, but no probability distribution is specified.  From the simulation results in </w:t>
      </w:r>
      <w:r w:rsidR="00524CD2">
        <w:rPr>
          <w:szCs w:val="20"/>
          <w:lang w:eastAsia="ja-JP"/>
        </w:rPr>
        <w:fldChar w:fldCharType="begin"/>
      </w:r>
      <w:r w:rsidR="00524CD2">
        <w:rPr>
          <w:szCs w:val="20"/>
          <w:lang w:eastAsia="ja-JP"/>
        </w:rPr>
        <w:instrText xml:space="preserve"> REF _Ref494550864 \r \h </w:instrText>
      </w:r>
      <w:r w:rsidR="00524CD2">
        <w:rPr>
          <w:szCs w:val="20"/>
          <w:lang w:eastAsia="ja-JP"/>
        </w:rPr>
      </w:r>
      <w:r w:rsidR="00524CD2">
        <w:rPr>
          <w:szCs w:val="20"/>
          <w:lang w:eastAsia="ja-JP"/>
        </w:rPr>
        <w:fldChar w:fldCharType="separate"/>
      </w:r>
      <w:r w:rsidR="00524CD2">
        <w:rPr>
          <w:szCs w:val="20"/>
          <w:lang w:eastAsia="ja-JP"/>
        </w:rPr>
        <w:t>[2]</w:t>
      </w:r>
      <w:r w:rsidR="00524CD2">
        <w:rPr>
          <w:szCs w:val="20"/>
          <w:lang w:eastAsia="ja-JP"/>
        </w:rPr>
        <w:fldChar w:fldCharType="end"/>
      </w:r>
      <w:r>
        <w:rPr>
          <w:szCs w:val="20"/>
          <w:lang w:eastAsia="ja-JP"/>
        </w:rPr>
        <w:t>, we find that even exact knowledge of a precoder cycling pattern does not</w:t>
      </w:r>
      <w:r w:rsidR="002958BC">
        <w:rPr>
          <w:szCs w:val="20"/>
          <w:lang w:eastAsia="ja-JP"/>
        </w:rPr>
        <w:t xml:space="preserve"> improve performance much</w:t>
      </w:r>
      <w:r w:rsidR="00DE6757">
        <w:rPr>
          <w:szCs w:val="20"/>
          <w:lang w:eastAsia="ja-JP"/>
        </w:rPr>
        <w:t>.</w:t>
      </w:r>
      <w:r>
        <w:rPr>
          <w:szCs w:val="20"/>
          <w:lang w:eastAsia="ja-JP"/>
        </w:rPr>
        <w:t xml:space="preserve"> </w:t>
      </w:r>
      <w:r w:rsidR="00DE6757">
        <w:rPr>
          <w:szCs w:val="20"/>
          <w:lang w:eastAsia="ja-JP"/>
        </w:rPr>
        <w:t xml:space="preserve">Therefore, </w:t>
      </w:r>
      <w:r>
        <w:rPr>
          <w:szCs w:val="20"/>
          <w:lang w:eastAsia="ja-JP"/>
        </w:rPr>
        <w:t xml:space="preserve">the exact probability distribution used </w:t>
      </w:r>
      <w:r w:rsidR="00B633F6">
        <w:rPr>
          <w:szCs w:val="20"/>
          <w:lang w:eastAsia="ja-JP"/>
        </w:rPr>
        <w:t xml:space="preserve">to randomly select a precoder for CSI feedback </w:t>
      </w:r>
      <w:r>
        <w:rPr>
          <w:szCs w:val="20"/>
          <w:lang w:eastAsia="ja-JP"/>
        </w:rPr>
        <w:t>does not seem likely to affect the performance.  Consequently, we suggest:</w:t>
      </w:r>
    </w:p>
    <w:p w14:paraId="747B390C" w14:textId="77777777" w:rsidR="00443F13" w:rsidRDefault="00443F13" w:rsidP="00443F13">
      <w:pPr>
        <w:jc w:val="both"/>
        <w:rPr>
          <w:szCs w:val="20"/>
          <w:lang w:eastAsia="ja-JP"/>
        </w:rPr>
      </w:pPr>
      <w:r w:rsidRPr="000C641D">
        <w:rPr>
          <w:b/>
          <w:szCs w:val="20"/>
          <w:lang w:eastAsia="ja-JP"/>
        </w:rPr>
        <w:t>Proposal</w:t>
      </w:r>
      <w:r>
        <w:rPr>
          <w:szCs w:val="20"/>
          <w:lang w:eastAsia="ja-JP"/>
        </w:rPr>
        <w:t>:</w:t>
      </w:r>
    </w:p>
    <w:p w14:paraId="1960E783" w14:textId="77777777" w:rsidR="008E7A3F" w:rsidRPr="00524CD2" w:rsidRDefault="008E7A3F" w:rsidP="008E7A3F">
      <w:pPr>
        <w:pStyle w:val="ListParagraph"/>
        <w:numPr>
          <w:ilvl w:val="0"/>
          <w:numId w:val="15"/>
        </w:numPr>
        <w:spacing w:after="12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When the UE is configured such that it may </w:t>
      </w:r>
      <w:r w:rsidRPr="00443F13">
        <w:rPr>
          <w:rFonts w:ascii="Times New Roman" w:hAnsi="Times New Roman" w:cs="Times New Roman"/>
          <w:sz w:val="20"/>
          <w:szCs w:val="20"/>
          <w:lang w:eastAsia="ja-JP"/>
        </w:rPr>
        <w:t>assume that one precoder is randomly selected from the set of Np precoders for each PRG on PDSCH, the probability that a precoder is selected is left to UE implementation.</w:t>
      </w:r>
    </w:p>
    <w:p w14:paraId="3832AEDD" w14:textId="15B691F4" w:rsidR="00A5248E" w:rsidRDefault="00A5248E" w:rsidP="009838A8">
      <w:pPr>
        <w:pStyle w:val="Heading1"/>
        <w:spacing w:before="480"/>
        <w:rPr>
          <w:lang w:eastAsia="ja-JP"/>
        </w:rPr>
      </w:pPr>
      <w:r w:rsidRPr="009D2B97">
        <w:rPr>
          <w:lang w:eastAsia="ja-JP"/>
        </w:rPr>
        <w:t>Conclusion</w:t>
      </w:r>
    </w:p>
    <w:p w14:paraId="01E0C17B" w14:textId="15FE8E0D" w:rsidR="000D0608" w:rsidRDefault="006C1018" w:rsidP="009838A8">
      <w:pPr>
        <w:pStyle w:val="BodyText"/>
        <w:keepNext/>
      </w:pPr>
      <w:r w:rsidRPr="006C1018">
        <w:t xml:space="preserve">This contribution </w:t>
      </w:r>
      <w:r>
        <w:t>has considered</w:t>
      </w:r>
      <w:r w:rsidRPr="006C1018">
        <w:t xml:space="preserve"> remaining details of CSI feedback supporting transparent transmit diversity that are left open from the agreement</w:t>
      </w:r>
      <w:r w:rsidR="00DE6757">
        <w:t xml:space="preserve">s reached in the third RAN1 NR </w:t>
      </w:r>
      <w:proofErr w:type="spellStart"/>
      <w:r w:rsidR="00DE6757">
        <w:t>adhoc</w:t>
      </w:r>
      <w:proofErr w:type="spellEnd"/>
      <w:r w:rsidR="00DE6757">
        <w:t xml:space="preserve"> in September </w:t>
      </w:r>
      <w:r w:rsidR="00DE6757">
        <w:fldChar w:fldCharType="begin"/>
      </w:r>
      <w:r w:rsidR="00DE6757">
        <w:instrText xml:space="preserve"> REF _Ref494474111 \r \h </w:instrText>
      </w:r>
      <w:r w:rsidR="00DE6757">
        <w:fldChar w:fldCharType="separate"/>
      </w:r>
      <w:r w:rsidR="00DE6757">
        <w:t>[1]</w:t>
      </w:r>
      <w:r w:rsidR="00DE6757">
        <w:fldChar w:fldCharType="end"/>
      </w:r>
      <w:r w:rsidRPr="006C1018">
        <w:t xml:space="preserve">.  </w:t>
      </w:r>
      <w:r>
        <w:t>We made the following observations and proposals, and also offer a clarification of the agreement on CSI feedback supporting TxD.</w:t>
      </w:r>
    </w:p>
    <w:p w14:paraId="47B688DC" w14:textId="77777777" w:rsidR="00524CD2" w:rsidRDefault="00524CD2" w:rsidP="00524CD2">
      <w:pPr>
        <w:jc w:val="both"/>
        <w:rPr>
          <w:szCs w:val="20"/>
          <w:lang w:eastAsia="ja-JP"/>
        </w:rPr>
      </w:pPr>
      <w:r w:rsidRPr="000C641D">
        <w:rPr>
          <w:b/>
          <w:szCs w:val="20"/>
          <w:lang w:eastAsia="ja-JP"/>
        </w:rPr>
        <w:t>Observations</w:t>
      </w:r>
      <w:r>
        <w:rPr>
          <w:szCs w:val="20"/>
          <w:lang w:eastAsia="ja-JP"/>
        </w:rPr>
        <w:t>:</w:t>
      </w:r>
    </w:p>
    <w:p w14:paraId="40AD381D" w14:textId="77777777" w:rsidR="00524CD2" w:rsidRPr="00443F13" w:rsidRDefault="00524CD2" w:rsidP="00524CD2">
      <w:pPr>
        <w:pStyle w:val="ListParagraph"/>
        <w:numPr>
          <w:ilvl w:val="0"/>
          <w:numId w:val="15"/>
        </w:numPr>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Independent PRG sizes for transparent TxD CSI feedback and for PDSCH reception enables CSI reporting hypotheses with and without transparent TxD.</w:t>
      </w:r>
    </w:p>
    <w:p w14:paraId="504E825B" w14:textId="77777777" w:rsidR="00524CD2" w:rsidRPr="000C641D" w:rsidRDefault="00524CD2" w:rsidP="00524CD2">
      <w:pPr>
        <w:pStyle w:val="ListParagraph"/>
        <w:numPr>
          <w:ilvl w:val="0"/>
          <w:numId w:val="15"/>
        </w:numPr>
        <w:spacing w:after="120"/>
        <w:jc w:val="both"/>
        <w:rPr>
          <w:szCs w:val="20"/>
          <w:lang w:eastAsia="ja-JP"/>
        </w:rPr>
      </w:pPr>
      <w:r w:rsidRPr="00443F13">
        <w:rPr>
          <w:rFonts w:ascii="Times New Roman" w:hAnsi="Times New Roman" w:cs="Times New Roman"/>
          <w:sz w:val="20"/>
          <w:szCs w:val="20"/>
          <w:lang w:eastAsia="ja-JP"/>
        </w:rPr>
        <w:t xml:space="preserve">CSI feedback accuracy motivates the use of TxD CSI reporting, and so PRG sizes should be aligned for PDSCH and CSI feedback </w:t>
      </w:r>
    </w:p>
    <w:p w14:paraId="6EEBC462" w14:textId="77777777" w:rsidR="00524CD2" w:rsidRDefault="00524CD2" w:rsidP="00524CD2">
      <w:pPr>
        <w:jc w:val="both"/>
        <w:rPr>
          <w:szCs w:val="20"/>
          <w:lang w:eastAsia="ja-JP"/>
        </w:rPr>
      </w:pPr>
      <w:r w:rsidRPr="000C641D">
        <w:rPr>
          <w:b/>
          <w:szCs w:val="20"/>
          <w:lang w:eastAsia="ja-JP"/>
        </w:rPr>
        <w:t>Clarification of agreement</w:t>
      </w:r>
      <w:r>
        <w:rPr>
          <w:szCs w:val="20"/>
          <w:lang w:eastAsia="ja-JP"/>
        </w:rPr>
        <w:t>:</w:t>
      </w:r>
    </w:p>
    <w:p w14:paraId="65D9CFF2" w14:textId="77777777" w:rsidR="00524CD2" w:rsidRPr="00443F13" w:rsidRDefault="00524CD2" w:rsidP="00524CD2">
      <w:pPr>
        <w:pStyle w:val="ListParagraph"/>
        <w:numPr>
          <w:ilvl w:val="0"/>
          <w:numId w:val="15"/>
        </w:numPr>
        <w:spacing w:after="120"/>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Configuring PRG size for CSI feedback independently of PRG size for PDSCH is only supported when the UE can assume that a precoder is randomly selected</w:t>
      </w:r>
      <w:r>
        <w:rPr>
          <w:rFonts w:ascii="Times New Roman" w:hAnsi="Times New Roman" w:cs="Times New Roman"/>
          <w:sz w:val="20"/>
          <w:szCs w:val="20"/>
          <w:lang w:eastAsia="ja-JP"/>
        </w:rPr>
        <w:t>.</w:t>
      </w:r>
      <w:r w:rsidRPr="00443F13">
        <w:rPr>
          <w:rFonts w:ascii="Times New Roman" w:hAnsi="Times New Roman" w:cs="Times New Roman"/>
          <w:sz w:val="20"/>
          <w:szCs w:val="20"/>
          <w:lang w:eastAsia="ja-JP"/>
        </w:rPr>
        <w:t xml:space="preserve"> </w:t>
      </w:r>
    </w:p>
    <w:p w14:paraId="700B69ED" w14:textId="3A7C0D35" w:rsidR="00524CD2" w:rsidRDefault="00524CD2" w:rsidP="00524CD2">
      <w:pPr>
        <w:jc w:val="both"/>
        <w:rPr>
          <w:szCs w:val="20"/>
          <w:lang w:eastAsia="ja-JP"/>
        </w:rPr>
      </w:pPr>
      <w:r w:rsidRPr="000C641D">
        <w:rPr>
          <w:b/>
          <w:szCs w:val="20"/>
          <w:lang w:eastAsia="ja-JP"/>
        </w:rPr>
        <w:t>Proposal</w:t>
      </w:r>
      <w:r w:rsidR="00B81C6D">
        <w:rPr>
          <w:b/>
          <w:szCs w:val="20"/>
          <w:lang w:eastAsia="ja-JP"/>
        </w:rPr>
        <w:t>s</w:t>
      </w:r>
      <w:r>
        <w:rPr>
          <w:szCs w:val="20"/>
          <w:lang w:eastAsia="ja-JP"/>
        </w:rPr>
        <w:t>:</w:t>
      </w:r>
    </w:p>
    <w:p w14:paraId="00EBA256" w14:textId="77777777" w:rsidR="00524CD2" w:rsidRPr="00443F13" w:rsidRDefault="00524CD2" w:rsidP="00524CD2">
      <w:pPr>
        <w:pStyle w:val="ListParagraph"/>
        <w:numPr>
          <w:ilvl w:val="0"/>
          <w:numId w:val="15"/>
        </w:numPr>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The same set of PRG sizes is used for CSI feedback as for PDSCH reception.</w:t>
      </w:r>
    </w:p>
    <w:p w14:paraId="7B12458E" w14:textId="6CC3F62F" w:rsidR="000D0608" w:rsidRDefault="00524CD2" w:rsidP="00524CD2">
      <w:pPr>
        <w:pStyle w:val="ListParagraph"/>
        <w:numPr>
          <w:ilvl w:val="0"/>
          <w:numId w:val="15"/>
        </w:numPr>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In CSI feedback with a configured PRG size, the UE may assume that the same precoder applies on all scheduled PRBs within a PRG</w:t>
      </w:r>
    </w:p>
    <w:p w14:paraId="34C849A8" w14:textId="7BC86BA6" w:rsidR="00524CD2" w:rsidRPr="00524CD2" w:rsidRDefault="008E7A3F" w:rsidP="00524CD2">
      <w:pPr>
        <w:pStyle w:val="ListParagraph"/>
        <w:numPr>
          <w:ilvl w:val="0"/>
          <w:numId w:val="15"/>
        </w:numPr>
        <w:spacing w:after="12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When the UE is configured such that it may </w:t>
      </w:r>
      <w:r w:rsidR="00524CD2" w:rsidRPr="00443F13">
        <w:rPr>
          <w:rFonts w:ascii="Times New Roman" w:hAnsi="Times New Roman" w:cs="Times New Roman"/>
          <w:sz w:val="20"/>
          <w:szCs w:val="20"/>
          <w:lang w:eastAsia="ja-JP"/>
        </w:rPr>
        <w:t>assume that one precoder is randomly selected from the set of Np precoders for each PRG on PDSCH, the probability that a precoder is selected is left to UE implementation.</w:t>
      </w:r>
    </w:p>
    <w:p w14:paraId="6DD3A21D" w14:textId="41CFF110" w:rsidR="003A5B3F" w:rsidRDefault="003A5B3F" w:rsidP="003A5B3F">
      <w:pPr>
        <w:pStyle w:val="Heading1"/>
        <w:spacing w:before="480"/>
      </w:pPr>
      <w:r w:rsidRPr="00CE0424">
        <w:t>References</w:t>
      </w:r>
    </w:p>
    <w:p w14:paraId="615FBA38" w14:textId="7D501DEF" w:rsidR="00AB1668" w:rsidRPr="00592032" w:rsidRDefault="00592032" w:rsidP="00592032">
      <w:pPr>
        <w:pStyle w:val="references"/>
        <w:keepNext/>
        <w:rPr>
          <w:sz w:val="20"/>
          <w:szCs w:val="20"/>
        </w:rPr>
      </w:pPr>
      <w:bookmarkStart w:id="4" w:name="_Ref494474111"/>
      <w:r w:rsidRPr="00592032">
        <w:rPr>
          <w:sz w:val="20"/>
          <w:szCs w:val="20"/>
        </w:rPr>
        <w:t>R1-1716882, “WF for Open Issues on CSI Reporting”, Samsung, Ericsson, Huawei, HiSilicon, ZTE, Sanechips, Mediatek, NTT DOCOMO, Nokia, Nokia Shanghai Bell, KDDI, Vodafone, CEWiT, IITH, IITM, Tejas Networks, Verizon, Deutsche Telekom, Softbank, CHTTL, NEC, WILUS, Sharp, China Unicom, ITL, KRRI, CMCC, ASTRI, KT Corporation, BT, Sprint, LG Electronics, AT&amp;T, 3GPP TSG RAN WG1 RAN1 NR#3, Nagoya, Japan, September 18-21, 2017</w:t>
      </w:r>
      <w:bookmarkEnd w:id="4"/>
    </w:p>
    <w:p w14:paraId="60466457" w14:textId="667D1DEF" w:rsidR="0024199A" w:rsidRPr="00524CD2" w:rsidRDefault="00D84C95" w:rsidP="00524CD2">
      <w:pPr>
        <w:pStyle w:val="references"/>
        <w:keepNext/>
        <w:rPr>
          <w:sz w:val="20"/>
          <w:szCs w:val="20"/>
        </w:rPr>
      </w:pPr>
      <w:bookmarkStart w:id="5" w:name="_Ref477889872"/>
      <w:bookmarkStart w:id="6" w:name="_Ref485243137"/>
      <w:bookmarkStart w:id="7" w:name="_Ref494550864"/>
      <w:r w:rsidRPr="00524CD2">
        <w:rPr>
          <w:sz w:val="20"/>
          <w:szCs w:val="20"/>
        </w:rPr>
        <w:t>R1-</w:t>
      </w:r>
      <w:r w:rsidR="00524CD2" w:rsidRPr="00524CD2">
        <w:rPr>
          <w:sz w:val="20"/>
          <w:szCs w:val="20"/>
        </w:rPr>
        <w:t>1714282</w:t>
      </w:r>
      <w:r w:rsidR="00DB608E" w:rsidRPr="00524CD2">
        <w:rPr>
          <w:sz w:val="20"/>
          <w:szCs w:val="20"/>
        </w:rPr>
        <w:t>, “</w:t>
      </w:r>
      <w:r w:rsidR="00524CD2" w:rsidRPr="00524CD2">
        <w:rPr>
          <w:sz w:val="20"/>
          <w:szCs w:val="20"/>
        </w:rPr>
        <w:t>CSI Feedback and Transparent PDSCH TxD</w:t>
      </w:r>
      <w:r w:rsidR="00DB608E" w:rsidRPr="00524CD2">
        <w:rPr>
          <w:sz w:val="20"/>
          <w:szCs w:val="20"/>
        </w:rPr>
        <w:t>”, Ericss</w:t>
      </w:r>
      <w:r w:rsidRPr="00524CD2">
        <w:rPr>
          <w:sz w:val="20"/>
          <w:szCs w:val="20"/>
        </w:rPr>
        <w:t>on, 3GPP TSG</w:t>
      </w:r>
      <w:r w:rsidR="00524CD2" w:rsidRPr="00524CD2">
        <w:rPr>
          <w:sz w:val="20"/>
          <w:szCs w:val="20"/>
        </w:rPr>
        <w:t xml:space="preserve"> RAN WG1 Meeting #90</w:t>
      </w:r>
      <w:r w:rsidR="00DB608E" w:rsidRPr="00524CD2">
        <w:rPr>
          <w:sz w:val="20"/>
          <w:szCs w:val="20"/>
        </w:rPr>
        <w:t xml:space="preserve">, </w:t>
      </w:r>
      <w:bookmarkStart w:id="8" w:name="_Ref481790807"/>
      <w:bookmarkEnd w:id="5"/>
      <w:bookmarkEnd w:id="6"/>
      <w:bookmarkEnd w:id="8"/>
      <w:r w:rsidR="00524CD2" w:rsidRPr="00524CD2">
        <w:rPr>
          <w:sz w:val="20"/>
          <w:szCs w:val="20"/>
        </w:rPr>
        <w:t xml:space="preserve">Prague, Czech Republic, August </w:t>
      </w:r>
      <w:r w:rsidR="00524CD2">
        <w:rPr>
          <w:sz w:val="20"/>
          <w:szCs w:val="20"/>
        </w:rPr>
        <w:t xml:space="preserve">21-25, </w:t>
      </w:r>
      <w:r w:rsidR="00524CD2" w:rsidRPr="00524CD2">
        <w:rPr>
          <w:sz w:val="20"/>
          <w:szCs w:val="20"/>
        </w:rPr>
        <w:t>2017</w:t>
      </w:r>
      <w:bookmarkEnd w:id="7"/>
    </w:p>
    <w:sectPr w:rsidR="0024199A" w:rsidRPr="00524CD2">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994CD" w14:textId="77777777" w:rsidR="0089794F" w:rsidRDefault="0089794F">
      <w:r>
        <w:separator/>
      </w:r>
    </w:p>
  </w:endnote>
  <w:endnote w:type="continuationSeparator" w:id="0">
    <w:p w14:paraId="2161F7EE" w14:textId="77777777" w:rsidR="0089794F" w:rsidRDefault="0089794F">
      <w:r>
        <w:continuationSeparator/>
      </w:r>
    </w:p>
  </w:endnote>
  <w:endnote w:type="continuationNotice" w:id="1">
    <w:p w14:paraId="00D2C771" w14:textId="77777777" w:rsidR="0089794F" w:rsidRDefault="008979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81F1A" w14:textId="77777777" w:rsidR="00132D2C" w:rsidRDefault="00132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5F76D" w14:textId="77777777" w:rsidR="00132D2C" w:rsidRDefault="00132D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BFB6F" w14:textId="77777777" w:rsidR="00132D2C" w:rsidRDefault="00132D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204C0" w14:textId="77777777" w:rsidR="0089794F" w:rsidRDefault="0089794F">
      <w:r>
        <w:separator/>
      </w:r>
    </w:p>
  </w:footnote>
  <w:footnote w:type="continuationSeparator" w:id="0">
    <w:p w14:paraId="46232DD9" w14:textId="77777777" w:rsidR="0089794F" w:rsidRDefault="0089794F">
      <w:r>
        <w:continuationSeparator/>
      </w:r>
    </w:p>
  </w:footnote>
  <w:footnote w:type="continuationNotice" w:id="1">
    <w:p w14:paraId="53955158" w14:textId="77777777" w:rsidR="0089794F" w:rsidRDefault="008979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BC354" w14:textId="77777777" w:rsidR="00132D2C" w:rsidRDefault="00132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99902" w14:textId="77777777" w:rsidR="00132D2C" w:rsidRDefault="00132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FD229" w14:textId="77777777" w:rsidR="00132D2C" w:rsidRDefault="00132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76A9"/>
    <w:multiLevelType w:val="hybridMultilevel"/>
    <w:tmpl w:val="6C902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15:restartNumberingAfterBreak="0">
    <w:nsid w:val="32714E8F"/>
    <w:multiLevelType w:val="hybridMultilevel"/>
    <w:tmpl w:val="0B6EEC10"/>
    <w:lvl w:ilvl="0" w:tplc="25FC9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CC04F4"/>
    <w:multiLevelType w:val="hybridMultilevel"/>
    <w:tmpl w:val="5784E938"/>
    <w:lvl w:ilvl="0" w:tplc="AF700734">
      <w:start w:val="1"/>
      <w:numFmt w:val="bullet"/>
      <w:lvlText w:val="›"/>
      <w:lvlJc w:val="left"/>
      <w:pPr>
        <w:tabs>
          <w:tab w:val="num" w:pos="720"/>
        </w:tabs>
        <w:ind w:left="720" w:hanging="360"/>
      </w:pPr>
      <w:rPr>
        <w:rFonts w:ascii="Arial" w:hAnsi="Arial" w:hint="default"/>
      </w:rPr>
    </w:lvl>
    <w:lvl w:ilvl="1" w:tplc="CB94A530">
      <w:start w:val="1"/>
      <w:numFmt w:val="bullet"/>
      <w:lvlText w:val="›"/>
      <w:lvlJc w:val="left"/>
      <w:pPr>
        <w:tabs>
          <w:tab w:val="num" w:pos="1440"/>
        </w:tabs>
        <w:ind w:left="1440" w:hanging="360"/>
      </w:pPr>
      <w:rPr>
        <w:rFonts w:ascii="Arial" w:hAnsi="Arial" w:hint="default"/>
      </w:rPr>
    </w:lvl>
    <w:lvl w:ilvl="2" w:tplc="9FE804B0">
      <w:numFmt w:val="bullet"/>
      <w:lvlText w:val="›"/>
      <w:lvlJc w:val="left"/>
      <w:pPr>
        <w:tabs>
          <w:tab w:val="num" w:pos="2160"/>
        </w:tabs>
        <w:ind w:left="2160" w:hanging="360"/>
      </w:pPr>
      <w:rPr>
        <w:rFonts w:ascii="Arial" w:hAnsi="Arial" w:hint="default"/>
      </w:rPr>
    </w:lvl>
    <w:lvl w:ilvl="3" w:tplc="505A05AE">
      <w:numFmt w:val="bullet"/>
      <w:lvlText w:val="›"/>
      <w:lvlJc w:val="left"/>
      <w:pPr>
        <w:tabs>
          <w:tab w:val="num" w:pos="2880"/>
        </w:tabs>
        <w:ind w:left="2880" w:hanging="360"/>
      </w:pPr>
      <w:rPr>
        <w:rFonts w:ascii="Arial" w:hAnsi="Arial" w:hint="default"/>
      </w:rPr>
    </w:lvl>
    <w:lvl w:ilvl="4" w:tplc="55CCEBD8" w:tentative="1">
      <w:start w:val="1"/>
      <w:numFmt w:val="bullet"/>
      <w:lvlText w:val="›"/>
      <w:lvlJc w:val="left"/>
      <w:pPr>
        <w:tabs>
          <w:tab w:val="num" w:pos="3600"/>
        </w:tabs>
        <w:ind w:left="3600" w:hanging="360"/>
      </w:pPr>
      <w:rPr>
        <w:rFonts w:ascii="Arial" w:hAnsi="Arial" w:hint="default"/>
      </w:rPr>
    </w:lvl>
    <w:lvl w:ilvl="5" w:tplc="5DDC3DCC" w:tentative="1">
      <w:start w:val="1"/>
      <w:numFmt w:val="bullet"/>
      <w:lvlText w:val="›"/>
      <w:lvlJc w:val="left"/>
      <w:pPr>
        <w:tabs>
          <w:tab w:val="num" w:pos="4320"/>
        </w:tabs>
        <w:ind w:left="4320" w:hanging="360"/>
      </w:pPr>
      <w:rPr>
        <w:rFonts w:ascii="Arial" w:hAnsi="Arial" w:hint="default"/>
      </w:rPr>
    </w:lvl>
    <w:lvl w:ilvl="6" w:tplc="4F8659D0" w:tentative="1">
      <w:start w:val="1"/>
      <w:numFmt w:val="bullet"/>
      <w:lvlText w:val="›"/>
      <w:lvlJc w:val="left"/>
      <w:pPr>
        <w:tabs>
          <w:tab w:val="num" w:pos="5040"/>
        </w:tabs>
        <w:ind w:left="5040" w:hanging="360"/>
      </w:pPr>
      <w:rPr>
        <w:rFonts w:ascii="Arial" w:hAnsi="Arial" w:hint="default"/>
      </w:rPr>
    </w:lvl>
    <w:lvl w:ilvl="7" w:tplc="D9587CE0" w:tentative="1">
      <w:start w:val="1"/>
      <w:numFmt w:val="bullet"/>
      <w:lvlText w:val="›"/>
      <w:lvlJc w:val="left"/>
      <w:pPr>
        <w:tabs>
          <w:tab w:val="num" w:pos="5760"/>
        </w:tabs>
        <w:ind w:left="5760" w:hanging="360"/>
      </w:pPr>
      <w:rPr>
        <w:rFonts w:ascii="Arial" w:hAnsi="Arial" w:hint="default"/>
      </w:rPr>
    </w:lvl>
    <w:lvl w:ilvl="8" w:tplc="384E54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8F1614"/>
    <w:multiLevelType w:val="hybridMultilevel"/>
    <w:tmpl w:val="57A00D5E"/>
    <w:lvl w:ilvl="0" w:tplc="1CD451C6">
      <w:start w:val="1"/>
      <w:numFmt w:val="bullet"/>
      <w:lvlText w:val="•"/>
      <w:lvlJc w:val="left"/>
      <w:pPr>
        <w:tabs>
          <w:tab w:val="num" w:pos="720"/>
        </w:tabs>
        <w:ind w:left="720" w:hanging="360"/>
      </w:pPr>
      <w:rPr>
        <w:rFonts w:ascii="Arial" w:hAnsi="Arial" w:hint="default"/>
      </w:rPr>
    </w:lvl>
    <w:lvl w:ilvl="1" w:tplc="99C6E9DE">
      <w:numFmt w:val="bullet"/>
      <w:lvlText w:val="–"/>
      <w:lvlJc w:val="left"/>
      <w:pPr>
        <w:tabs>
          <w:tab w:val="num" w:pos="1440"/>
        </w:tabs>
        <w:ind w:left="1440" w:hanging="360"/>
      </w:pPr>
      <w:rPr>
        <w:rFonts w:ascii="Arial" w:hAnsi="Arial" w:hint="default"/>
      </w:rPr>
    </w:lvl>
    <w:lvl w:ilvl="2" w:tplc="9738B086">
      <w:numFmt w:val="bullet"/>
      <w:lvlText w:val="•"/>
      <w:lvlJc w:val="left"/>
      <w:pPr>
        <w:tabs>
          <w:tab w:val="num" w:pos="2160"/>
        </w:tabs>
        <w:ind w:left="2160" w:hanging="360"/>
      </w:pPr>
      <w:rPr>
        <w:rFonts w:ascii="Arial" w:hAnsi="Arial" w:hint="default"/>
      </w:rPr>
    </w:lvl>
    <w:lvl w:ilvl="3" w:tplc="99C836C4">
      <w:numFmt w:val="bullet"/>
      <w:lvlText w:val="–"/>
      <w:lvlJc w:val="left"/>
      <w:pPr>
        <w:tabs>
          <w:tab w:val="num" w:pos="2880"/>
        </w:tabs>
        <w:ind w:left="2880" w:hanging="360"/>
      </w:pPr>
      <w:rPr>
        <w:rFonts w:ascii="Arial" w:hAnsi="Arial" w:hint="default"/>
      </w:rPr>
    </w:lvl>
    <w:lvl w:ilvl="4" w:tplc="5D504C02">
      <w:numFmt w:val="bullet"/>
      <w:lvlText w:val="»"/>
      <w:lvlJc w:val="left"/>
      <w:pPr>
        <w:tabs>
          <w:tab w:val="num" w:pos="3600"/>
        </w:tabs>
        <w:ind w:left="3600" w:hanging="360"/>
      </w:pPr>
      <w:rPr>
        <w:rFonts w:ascii="Arial" w:hAnsi="Arial" w:hint="default"/>
      </w:rPr>
    </w:lvl>
    <w:lvl w:ilvl="5" w:tplc="465464F8" w:tentative="1">
      <w:start w:val="1"/>
      <w:numFmt w:val="bullet"/>
      <w:lvlText w:val="•"/>
      <w:lvlJc w:val="left"/>
      <w:pPr>
        <w:tabs>
          <w:tab w:val="num" w:pos="4320"/>
        </w:tabs>
        <w:ind w:left="4320" w:hanging="360"/>
      </w:pPr>
      <w:rPr>
        <w:rFonts w:ascii="Arial" w:hAnsi="Arial" w:hint="default"/>
      </w:rPr>
    </w:lvl>
    <w:lvl w:ilvl="6" w:tplc="0CA2EC56" w:tentative="1">
      <w:start w:val="1"/>
      <w:numFmt w:val="bullet"/>
      <w:lvlText w:val="•"/>
      <w:lvlJc w:val="left"/>
      <w:pPr>
        <w:tabs>
          <w:tab w:val="num" w:pos="5040"/>
        </w:tabs>
        <w:ind w:left="5040" w:hanging="360"/>
      </w:pPr>
      <w:rPr>
        <w:rFonts w:ascii="Arial" w:hAnsi="Arial" w:hint="default"/>
      </w:rPr>
    </w:lvl>
    <w:lvl w:ilvl="7" w:tplc="5E42A6C2" w:tentative="1">
      <w:start w:val="1"/>
      <w:numFmt w:val="bullet"/>
      <w:lvlText w:val="•"/>
      <w:lvlJc w:val="left"/>
      <w:pPr>
        <w:tabs>
          <w:tab w:val="num" w:pos="5760"/>
        </w:tabs>
        <w:ind w:left="5760" w:hanging="360"/>
      </w:pPr>
      <w:rPr>
        <w:rFonts w:ascii="Arial" w:hAnsi="Arial" w:hint="default"/>
      </w:rPr>
    </w:lvl>
    <w:lvl w:ilvl="8" w:tplc="D89A04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82C225B"/>
    <w:multiLevelType w:val="hybridMultilevel"/>
    <w:tmpl w:val="8AF41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8" w15:restartNumberingAfterBreak="0">
    <w:nsid w:val="7E8C1193"/>
    <w:multiLevelType w:val="hybridMultilevel"/>
    <w:tmpl w:val="A9A2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3"/>
  </w:num>
  <w:num w:numId="5">
    <w:abstractNumId w:val="17"/>
  </w:num>
  <w:num w:numId="6">
    <w:abstractNumId w:val="13"/>
  </w:num>
  <w:num w:numId="7">
    <w:abstractNumId w:val="11"/>
  </w:num>
  <w:num w:numId="8">
    <w:abstractNumId w:val="14"/>
  </w:num>
  <w:num w:numId="9">
    <w:abstractNumId w:val="6"/>
  </w:num>
  <w:num w:numId="10">
    <w:abstractNumId w:val="10"/>
  </w:num>
  <w:num w:numId="11">
    <w:abstractNumId w:val="8"/>
  </w:num>
  <w:num w:numId="12">
    <w:abstractNumId w:val="15"/>
  </w:num>
  <w:num w:numId="13">
    <w:abstractNumId w:val="1"/>
  </w:num>
  <w:num w:numId="14">
    <w:abstractNumId w:val="4"/>
  </w:num>
  <w:num w:numId="15">
    <w:abstractNumId w:val="18"/>
  </w:num>
  <w:num w:numId="16">
    <w:abstractNumId w:val="12"/>
  </w:num>
  <w:num w:numId="17">
    <w:abstractNumId w:val="2"/>
  </w:num>
  <w:num w:numId="18">
    <w:abstractNumId w:val="9"/>
  </w:num>
  <w:num w:numId="19">
    <w:abstractNumId w:val="9"/>
  </w:num>
  <w:num w:numId="20">
    <w:abstractNumId w:val="7"/>
  </w:num>
  <w:num w:numId="21">
    <w:abstractNumId w:val="9"/>
  </w:num>
  <w:num w:numId="22">
    <w:abstractNumId w:val="0"/>
  </w:num>
  <w:num w:numId="2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9C0"/>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07F65"/>
    <w:rsid w:val="00010049"/>
    <w:rsid w:val="0001114B"/>
    <w:rsid w:val="00011296"/>
    <w:rsid w:val="000120A7"/>
    <w:rsid w:val="000120B7"/>
    <w:rsid w:val="000120E9"/>
    <w:rsid w:val="000122BB"/>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DAF"/>
    <w:rsid w:val="00020FCD"/>
    <w:rsid w:val="0002108C"/>
    <w:rsid w:val="00021ABC"/>
    <w:rsid w:val="00021FA0"/>
    <w:rsid w:val="0002211B"/>
    <w:rsid w:val="00022139"/>
    <w:rsid w:val="00022A63"/>
    <w:rsid w:val="00023E3C"/>
    <w:rsid w:val="0002422A"/>
    <w:rsid w:val="00024710"/>
    <w:rsid w:val="00024CB3"/>
    <w:rsid w:val="00024F2B"/>
    <w:rsid w:val="00025129"/>
    <w:rsid w:val="000257ED"/>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43E"/>
    <w:rsid w:val="00034600"/>
    <w:rsid w:val="00034C5F"/>
    <w:rsid w:val="00034DA5"/>
    <w:rsid w:val="000351B3"/>
    <w:rsid w:val="000354A0"/>
    <w:rsid w:val="000361CE"/>
    <w:rsid w:val="00036AD6"/>
    <w:rsid w:val="000370DA"/>
    <w:rsid w:val="000372AB"/>
    <w:rsid w:val="0003741A"/>
    <w:rsid w:val="00040094"/>
    <w:rsid w:val="0004035C"/>
    <w:rsid w:val="000408DB"/>
    <w:rsid w:val="00040C36"/>
    <w:rsid w:val="0004272B"/>
    <w:rsid w:val="00043085"/>
    <w:rsid w:val="000435B0"/>
    <w:rsid w:val="0004371B"/>
    <w:rsid w:val="00043968"/>
    <w:rsid w:val="00043D7E"/>
    <w:rsid w:val="00044117"/>
    <w:rsid w:val="00044183"/>
    <w:rsid w:val="00044A52"/>
    <w:rsid w:val="00044A95"/>
    <w:rsid w:val="00044C31"/>
    <w:rsid w:val="00045F9C"/>
    <w:rsid w:val="000462E8"/>
    <w:rsid w:val="000468AA"/>
    <w:rsid w:val="00046AD7"/>
    <w:rsid w:val="00046C4F"/>
    <w:rsid w:val="000473B2"/>
    <w:rsid w:val="00047555"/>
    <w:rsid w:val="00047E14"/>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19F"/>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87D"/>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49"/>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5FF"/>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583"/>
    <w:rsid w:val="00094E43"/>
    <w:rsid w:val="000951C5"/>
    <w:rsid w:val="0009569C"/>
    <w:rsid w:val="00095A19"/>
    <w:rsid w:val="00096087"/>
    <w:rsid w:val="00096798"/>
    <w:rsid w:val="0009686D"/>
    <w:rsid w:val="00096E0A"/>
    <w:rsid w:val="000970BA"/>
    <w:rsid w:val="000975A9"/>
    <w:rsid w:val="000976E9"/>
    <w:rsid w:val="00097B7E"/>
    <w:rsid w:val="00097CC0"/>
    <w:rsid w:val="000A01CD"/>
    <w:rsid w:val="000A0237"/>
    <w:rsid w:val="000A040C"/>
    <w:rsid w:val="000A068E"/>
    <w:rsid w:val="000A06F5"/>
    <w:rsid w:val="000A080C"/>
    <w:rsid w:val="000A0CFA"/>
    <w:rsid w:val="000A1181"/>
    <w:rsid w:val="000A1B26"/>
    <w:rsid w:val="000A26E3"/>
    <w:rsid w:val="000A308E"/>
    <w:rsid w:val="000A378F"/>
    <w:rsid w:val="000A38B3"/>
    <w:rsid w:val="000A38D5"/>
    <w:rsid w:val="000A398B"/>
    <w:rsid w:val="000A3DBE"/>
    <w:rsid w:val="000A40DD"/>
    <w:rsid w:val="000A41E3"/>
    <w:rsid w:val="000A4308"/>
    <w:rsid w:val="000A4C50"/>
    <w:rsid w:val="000A5854"/>
    <w:rsid w:val="000A58EB"/>
    <w:rsid w:val="000A5A30"/>
    <w:rsid w:val="000A5B2F"/>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23F"/>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41D"/>
    <w:rsid w:val="000C68FE"/>
    <w:rsid w:val="000C6BCD"/>
    <w:rsid w:val="000C710D"/>
    <w:rsid w:val="000C7220"/>
    <w:rsid w:val="000C7CBA"/>
    <w:rsid w:val="000C7FDB"/>
    <w:rsid w:val="000D0608"/>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15D"/>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4E8A"/>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0BC"/>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8AF"/>
    <w:rsid w:val="00116C1D"/>
    <w:rsid w:val="00116D28"/>
    <w:rsid w:val="00116E93"/>
    <w:rsid w:val="001171A7"/>
    <w:rsid w:val="00117536"/>
    <w:rsid w:val="001175F1"/>
    <w:rsid w:val="001176B4"/>
    <w:rsid w:val="00117C7B"/>
    <w:rsid w:val="00117E18"/>
    <w:rsid w:val="001204F3"/>
    <w:rsid w:val="001207AE"/>
    <w:rsid w:val="00122FA2"/>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2C"/>
    <w:rsid w:val="00132DF9"/>
    <w:rsid w:val="00132F16"/>
    <w:rsid w:val="001330E8"/>
    <w:rsid w:val="001331C8"/>
    <w:rsid w:val="00133829"/>
    <w:rsid w:val="001338FC"/>
    <w:rsid w:val="001340DE"/>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9C2"/>
    <w:rsid w:val="00142BDF"/>
    <w:rsid w:val="001440DA"/>
    <w:rsid w:val="0014476B"/>
    <w:rsid w:val="00144851"/>
    <w:rsid w:val="00144A35"/>
    <w:rsid w:val="00144DF7"/>
    <w:rsid w:val="00144E5B"/>
    <w:rsid w:val="0014569F"/>
    <w:rsid w:val="001458CC"/>
    <w:rsid w:val="001466AC"/>
    <w:rsid w:val="00147000"/>
    <w:rsid w:val="0014713F"/>
    <w:rsid w:val="00147314"/>
    <w:rsid w:val="00147455"/>
    <w:rsid w:val="001476F9"/>
    <w:rsid w:val="001477D6"/>
    <w:rsid w:val="00147E11"/>
    <w:rsid w:val="00147ED3"/>
    <w:rsid w:val="00150424"/>
    <w:rsid w:val="0015086E"/>
    <w:rsid w:val="00150902"/>
    <w:rsid w:val="00150D0D"/>
    <w:rsid w:val="00151774"/>
    <w:rsid w:val="001518A4"/>
    <w:rsid w:val="00152419"/>
    <w:rsid w:val="0015248C"/>
    <w:rsid w:val="00152592"/>
    <w:rsid w:val="00152AAF"/>
    <w:rsid w:val="00152F5D"/>
    <w:rsid w:val="00153503"/>
    <w:rsid w:val="00153A55"/>
    <w:rsid w:val="00153B2D"/>
    <w:rsid w:val="00153E38"/>
    <w:rsid w:val="00154647"/>
    <w:rsid w:val="001546B3"/>
    <w:rsid w:val="00154F7E"/>
    <w:rsid w:val="0015508B"/>
    <w:rsid w:val="00155C24"/>
    <w:rsid w:val="0015666B"/>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781"/>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94F"/>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A97"/>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6F5A"/>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2D04"/>
    <w:rsid w:val="001B3171"/>
    <w:rsid w:val="001B4283"/>
    <w:rsid w:val="001B441B"/>
    <w:rsid w:val="001B47AD"/>
    <w:rsid w:val="001B4856"/>
    <w:rsid w:val="001B490C"/>
    <w:rsid w:val="001B5073"/>
    <w:rsid w:val="001B5A2A"/>
    <w:rsid w:val="001B5DF4"/>
    <w:rsid w:val="001B5EE4"/>
    <w:rsid w:val="001B6537"/>
    <w:rsid w:val="001B6C04"/>
    <w:rsid w:val="001B6E89"/>
    <w:rsid w:val="001B6FE5"/>
    <w:rsid w:val="001B7150"/>
    <w:rsid w:val="001B71F1"/>
    <w:rsid w:val="001B731D"/>
    <w:rsid w:val="001B7E14"/>
    <w:rsid w:val="001C036A"/>
    <w:rsid w:val="001C03F1"/>
    <w:rsid w:val="001C0439"/>
    <w:rsid w:val="001C0898"/>
    <w:rsid w:val="001C1360"/>
    <w:rsid w:val="001C1410"/>
    <w:rsid w:val="001C1599"/>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627"/>
    <w:rsid w:val="001D49A9"/>
    <w:rsid w:val="001D4A38"/>
    <w:rsid w:val="001D4D27"/>
    <w:rsid w:val="001D4F46"/>
    <w:rsid w:val="001D5002"/>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4B"/>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1E21"/>
    <w:rsid w:val="001F262E"/>
    <w:rsid w:val="001F2859"/>
    <w:rsid w:val="001F2BA7"/>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0FA"/>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BA4"/>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5E9"/>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199A"/>
    <w:rsid w:val="0024209B"/>
    <w:rsid w:val="00243667"/>
    <w:rsid w:val="00243B92"/>
    <w:rsid w:val="0024429C"/>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1E0"/>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CF3"/>
    <w:rsid w:val="0026773C"/>
    <w:rsid w:val="00267E6E"/>
    <w:rsid w:val="002701E1"/>
    <w:rsid w:val="00270BDC"/>
    <w:rsid w:val="002711B7"/>
    <w:rsid w:val="00271493"/>
    <w:rsid w:val="002718BD"/>
    <w:rsid w:val="00271D56"/>
    <w:rsid w:val="00271EEA"/>
    <w:rsid w:val="002724D9"/>
    <w:rsid w:val="00272951"/>
    <w:rsid w:val="00272EA5"/>
    <w:rsid w:val="0027313D"/>
    <w:rsid w:val="002733BC"/>
    <w:rsid w:val="002739DF"/>
    <w:rsid w:val="00273B8C"/>
    <w:rsid w:val="00273BB4"/>
    <w:rsid w:val="0027409D"/>
    <w:rsid w:val="002745AE"/>
    <w:rsid w:val="00274A2A"/>
    <w:rsid w:val="00274ACC"/>
    <w:rsid w:val="0027505A"/>
    <w:rsid w:val="002750F3"/>
    <w:rsid w:val="00275534"/>
    <w:rsid w:val="002756C1"/>
    <w:rsid w:val="00275D8B"/>
    <w:rsid w:val="0027642A"/>
    <w:rsid w:val="002765D2"/>
    <w:rsid w:val="00276753"/>
    <w:rsid w:val="002770D7"/>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AD9"/>
    <w:rsid w:val="00287BD9"/>
    <w:rsid w:val="0029022C"/>
    <w:rsid w:val="002902E2"/>
    <w:rsid w:val="00290E3A"/>
    <w:rsid w:val="00291CC4"/>
    <w:rsid w:val="0029229B"/>
    <w:rsid w:val="0029229E"/>
    <w:rsid w:val="002922F2"/>
    <w:rsid w:val="00292AF1"/>
    <w:rsid w:val="00293063"/>
    <w:rsid w:val="00293080"/>
    <w:rsid w:val="002933A1"/>
    <w:rsid w:val="002937DC"/>
    <w:rsid w:val="00293F79"/>
    <w:rsid w:val="00294270"/>
    <w:rsid w:val="002942BB"/>
    <w:rsid w:val="0029444F"/>
    <w:rsid w:val="0029469F"/>
    <w:rsid w:val="00294E52"/>
    <w:rsid w:val="00295053"/>
    <w:rsid w:val="002958BC"/>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5A39"/>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416"/>
    <w:rsid w:val="002C7AC5"/>
    <w:rsid w:val="002C7D18"/>
    <w:rsid w:val="002C7D56"/>
    <w:rsid w:val="002D00A4"/>
    <w:rsid w:val="002D00ED"/>
    <w:rsid w:val="002D0988"/>
    <w:rsid w:val="002D0C7B"/>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3D90"/>
    <w:rsid w:val="002F433C"/>
    <w:rsid w:val="002F451F"/>
    <w:rsid w:val="002F45A5"/>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3B13"/>
    <w:rsid w:val="0030412E"/>
    <w:rsid w:val="0030425B"/>
    <w:rsid w:val="00304BA3"/>
    <w:rsid w:val="0030502F"/>
    <w:rsid w:val="003054C5"/>
    <w:rsid w:val="0030587E"/>
    <w:rsid w:val="00305BD9"/>
    <w:rsid w:val="00305DD6"/>
    <w:rsid w:val="00305EA2"/>
    <w:rsid w:val="00306CA9"/>
    <w:rsid w:val="00306D3B"/>
    <w:rsid w:val="0030746A"/>
    <w:rsid w:val="003074A1"/>
    <w:rsid w:val="0030798A"/>
    <w:rsid w:val="00307F04"/>
    <w:rsid w:val="00307FC6"/>
    <w:rsid w:val="00310299"/>
    <w:rsid w:val="003104AE"/>
    <w:rsid w:val="0031054A"/>
    <w:rsid w:val="00310A6F"/>
    <w:rsid w:val="00310B90"/>
    <w:rsid w:val="003111DC"/>
    <w:rsid w:val="0031197D"/>
    <w:rsid w:val="00311B1D"/>
    <w:rsid w:val="0031207B"/>
    <w:rsid w:val="003122F0"/>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DEE"/>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798"/>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71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994"/>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3CDC"/>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092"/>
    <w:rsid w:val="00380167"/>
    <w:rsid w:val="0038038A"/>
    <w:rsid w:val="003807D3"/>
    <w:rsid w:val="00380BE6"/>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3F0"/>
    <w:rsid w:val="0038645C"/>
    <w:rsid w:val="003864CE"/>
    <w:rsid w:val="00386BE8"/>
    <w:rsid w:val="00386C0C"/>
    <w:rsid w:val="0038736A"/>
    <w:rsid w:val="00387445"/>
    <w:rsid w:val="00387D4C"/>
    <w:rsid w:val="00387E55"/>
    <w:rsid w:val="0039030E"/>
    <w:rsid w:val="00390338"/>
    <w:rsid w:val="0039040A"/>
    <w:rsid w:val="00390A6E"/>
    <w:rsid w:val="00390D62"/>
    <w:rsid w:val="0039109B"/>
    <w:rsid w:val="00391743"/>
    <w:rsid w:val="00391ACB"/>
    <w:rsid w:val="00391D55"/>
    <w:rsid w:val="00392747"/>
    <w:rsid w:val="00392A53"/>
    <w:rsid w:val="00392AD6"/>
    <w:rsid w:val="00393845"/>
    <w:rsid w:val="003940D3"/>
    <w:rsid w:val="003942EC"/>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A30"/>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9BA"/>
    <w:rsid w:val="003A7B46"/>
    <w:rsid w:val="003A7BD3"/>
    <w:rsid w:val="003A7EC5"/>
    <w:rsid w:val="003A7F6F"/>
    <w:rsid w:val="003B02C3"/>
    <w:rsid w:val="003B0A55"/>
    <w:rsid w:val="003B1223"/>
    <w:rsid w:val="003B1547"/>
    <w:rsid w:val="003B1878"/>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573"/>
    <w:rsid w:val="003C5B0E"/>
    <w:rsid w:val="003C6C00"/>
    <w:rsid w:val="003C6E3D"/>
    <w:rsid w:val="003C6EC1"/>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8C8"/>
    <w:rsid w:val="003F2C21"/>
    <w:rsid w:val="003F2D37"/>
    <w:rsid w:val="003F3FEB"/>
    <w:rsid w:val="003F404F"/>
    <w:rsid w:val="003F4203"/>
    <w:rsid w:val="003F44C6"/>
    <w:rsid w:val="003F585A"/>
    <w:rsid w:val="003F60E7"/>
    <w:rsid w:val="003F6454"/>
    <w:rsid w:val="003F6F52"/>
    <w:rsid w:val="003F728E"/>
    <w:rsid w:val="003F72D5"/>
    <w:rsid w:val="003F7313"/>
    <w:rsid w:val="003F7BCA"/>
    <w:rsid w:val="003F7C79"/>
    <w:rsid w:val="00400031"/>
    <w:rsid w:val="00400273"/>
    <w:rsid w:val="0040032E"/>
    <w:rsid w:val="00400720"/>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9E6"/>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0"/>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3F13"/>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8E0"/>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FB"/>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1A5C"/>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DB7"/>
    <w:rsid w:val="004774C3"/>
    <w:rsid w:val="0047750A"/>
    <w:rsid w:val="00477800"/>
    <w:rsid w:val="00477A3F"/>
    <w:rsid w:val="00477E81"/>
    <w:rsid w:val="004804D9"/>
    <w:rsid w:val="00480598"/>
    <w:rsid w:val="0048068C"/>
    <w:rsid w:val="00480748"/>
    <w:rsid w:val="004807C2"/>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9B1"/>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0FE"/>
    <w:rsid w:val="004A720D"/>
    <w:rsid w:val="004A73FA"/>
    <w:rsid w:val="004A7478"/>
    <w:rsid w:val="004A79D5"/>
    <w:rsid w:val="004B02AF"/>
    <w:rsid w:val="004B0843"/>
    <w:rsid w:val="004B095C"/>
    <w:rsid w:val="004B0E80"/>
    <w:rsid w:val="004B13D1"/>
    <w:rsid w:val="004B150F"/>
    <w:rsid w:val="004B1A2F"/>
    <w:rsid w:val="004B1B6D"/>
    <w:rsid w:val="004B1C4D"/>
    <w:rsid w:val="004B1F16"/>
    <w:rsid w:val="004B2E50"/>
    <w:rsid w:val="004B30A2"/>
    <w:rsid w:val="004B329F"/>
    <w:rsid w:val="004B357C"/>
    <w:rsid w:val="004B3663"/>
    <w:rsid w:val="004B3687"/>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1F37"/>
    <w:rsid w:val="004C2074"/>
    <w:rsid w:val="004C265D"/>
    <w:rsid w:val="004C2720"/>
    <w:rsid w:val="004C28E8"/>
    <w:rsid w:val="004C2CEF"/>
    <w:rsid w:val="004C38B6"/>
    <w:rsid w:val="004C3C03"/>
    <w:rsid w:val="004C4513"/>
    <w:rsid w:val="004C4785"/>
    <w:rsid w:val="004C4AC0"/>
    <w:rsid w:val="004C503B"/>
    <w:rsid w:val="004C5683"/>
    <w:rsid w:val="004C5E7D"/>
    <w:rsid w:val="004C627B"/>
    <w:rsid w:val="004C635F"/>
    <w:rsid w:val="004C6577"/>
    <w:rsid w:val="004C6585"/>
    <w:rsid w:val="004C6830"/>
    <w:rsid w:val="004C6904"/>
    <w:rsid w:val="004C71BF"/>
    <w:rsid w:val="004C791B"/>
    <w:rsid w:val="004C7968"/>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CB1"/>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E65"/>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458"/>
    <w:rsid w:val="004F66AA"/>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58D"/>
    <w:rsid w:val="0051595B"/>
    <w:rsid w:val="005161BF"/>
    <w:rsid w:val="005165B5"/>
    <w:rsid w:val="005170FF"/>
    <w:rsid w:val="00517E1F"/>
    <w:rsid w:val="00517F3F"/>
    <w:rsid w:val="005200A3"/>
    <w:rsid w:val="0052016E"/>
    <w:rsid w:val="00520221"/>
    <w:rsid w:val="00520263"/>
    <w:rsid w:val="00520999"/>
    <w:rsid w:val="005211CF"/>
    <w:rsid w:val="005214C7"/>
    <w:rsid w:val="00521707"/>
    <w:rsid w:val="005217EB"/>
    <w:rsid w:val="0052191A"/>
    <w:rsid w:val="00521D4F"/>
    <w:rsid w:val="00521FB1"/>
    <w:rsid w:val="005220F2"/>
    <w:rsid w:val="00522D13"/>
    <w:rsid w:val="00522DCF"/>
    <w:rsid w:val="00522F69"/>
    <w:rsid w:val="00522FAC"/>
    <w:rsid w:val="0052382A"/>
    <w:rsid w:val="00523BD5"/>
    <w:rsid w:val="00523F29"/>
    <w:rsid w:val="005240C0"/>
    <w:rsid w:val="00524356"/>
    <w:rsid w:val="00524488"/>
    <w:rsid w:val="00524A7D"/>
    <w:rsid w:val="00524CD2"/>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2B3"/>
    <w:rsid w:val="0053237C"/>
    <w:rsid w:val="0053262A"/>
    <w:rsid w:val="00532719"/>
    <w:rsid w:val="0053272F"/>
    <w:rsid w:val="00532AC5"/>
    <w:rsid w:val="00532B9E"/>
    <w:rsid w:val="00533975"/>
    <w:rsid w:val="005339F5"/>
    <w:rsid w:val="00533A35"/>
    <w:rsid w:val="00533A41"/>
    <w:rsid w:val="0053417C"/>
    <w:rsid w:val="0053439A"/>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073"/>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04"/>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2E"/>
    <w:rsid w:val="00557854"/>
    <w:rsid w:val="00557C8E"/>
    <w:rsid w:val="00557F0D"/>
    <w:rsid w:val="00560153"/>
    <w:rsid w:val="005602D1"/>
    <w:rsid w:val="00560BD6"/>
    <w:rsid w:val="005615C9"/>
    <w:rsid w:val="005618CA"/>
    <w:rsid w:val="00561B83"/>
    <w:rsid w:val="00561D01"/>
    <w:rsid w:val="00561EA9"/>
    <w:rsid w:val="005627E8"/>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99E"/>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032"/>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307"/>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0EB8"/>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3A7"/>
    <w:rsid w:val="005C27B5"/>
    <w:rsid w:val="005C2E01"/>
    <w:rsid w:val="005C46D7"/>
    <w:rsid w:val="005C4C84"/>
    <w:rsid w:val="005C4D3A"/>
    <w:rsid w:val="005C4F6E"/>
    <w:rsid w:val="005C4FA4"/>
    <w:rsid w:val="005C5845"/>
    <w:rsid w:val="005C5AB1"/>
    <w:rsid w:val="005C5DA5"/>
    <w:rsid w:val="005C5EFA"/>
    <w:rsid w:val="005C5FFA"/>
    <w:rsid w:val="005C62DD"/>
    <w:rsid w:val="005C6995"/>
    <w:rsid w:val="005C71E8"/>
    <w:rsid w:val="005C739D"/>
    <w:rsid w:val="005C76CC"/>
    <w:rsid w:val="005C7DB4"/>
    <w:rsid w:val="005D0241"/>
    <w:rsid w:val="005D0485"/>
    <w:rsid w:val="005D08FB"/>
    <w:rsid w:val="005D0D0B"/>
    <w:rsid w:val="005D0F40"/>
    <w:rsid w:val="005D157D"/>
    <w:rsid w:val="005D1864"/>
    <w:rsid w:val="005D2264"/>
    <w:rsid w:val="005D300B"/>
    <w:rsid w:val="005D304E"/>
    <w:rsid w:val="005D3698"/>
    <w:rsid w:val="005D3EBF"/>
    <w:rsid w:val="005D40D7"/>
    <w:rsid w:val="005D40F7"/>
    <w:rsid w:val="005D453E"/>
    <w:rsid w:val="005D49C8"/>
    <w:rsid w:val="005D49DB"/>
    <w:rsid w:val="005D4D8D"/>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5564"/>
    <w:rsid w:val="005E60C8"/>
    <w:rsid w:val="005E6128"/>
    <w:rsid w:val="005E6206"/>
    <w:rsid w:val="005E6352"/>
    <w:rsid w:val="005E64DA"/>
    <w:rsid w:val="005E661E"/>
    <w:rsid w:val="005E68C2"/>
    <w:rsid w:val="005E6F54"/>
    <w:rsid w:val="005E6FAB"/>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18E1"/>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38"/>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6769"/>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0E22"/>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780"/>
    <w:rsid w:val="00682F95"/>
    <w:rsid w:val="00683544"/>
    <w:rsid w:val="006837DC"/>
    <w:rsid w:val="00683946"/>
    <w:rsid w:val="006839F3"/>
    <w:rsid w:val="00683E12"/>
    <w:rsid w:val="006840DB"/>
    <w:rsid w:val="006840F6"/>
    <w:rsid w:val="006844F2"/>
    <w:rsid w:val="0068486D"/>
    <w:rsid w:val="006848D7"/>
    <w:rsid w:val="00684F3D"/>
    <w:rsid w:val="0068528C"/>
    <w:rsid w:val="006852EE"/>
    <w:rsid w:val="00685611"/>
    <w:rsid w:val="00685AB3"/>
    <w:rsid w:val="00686025"/>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4E61"/>
    <w:rsid w:val="0069531E"/>
    <w:rsid w:val="00695729"/>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48E6"/>
    <w:rsid w:val="006A501A"/>
    <w:rsid w:val="006A5075"/>
    <w:rsid w:val="006A51C3"/>
    <w:rsid w:val="006A5646"/>
    <w:rsid w:val="006A568E"/>
    <w:rsid w:val="006A59EF"/>
    <w:rsid w:val="006A6333"/>
    <w:rsid w:val="006A657D"/>
    <w:rsid w:val="006A6642"/>
    <w:rsid w:val="006A72D5"/>
    <w:rsid w:val="006A7429"/>
    <w:rsid w:val="006A7F50"/>
    <w:rsid w:val="006B023E"/>
    <w:rsid w:val="006B05AC"/>
    <w:rsid w:val="006B05D3"/>
    <w:rsid w:val="006B0A09"/>
    <w:rsid w:val="006B0ACF"/>
    <w:rsid w:val="006B0CE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146"/>
    <w:rsid w:val="006B78BC"/>
    <w:rsid w:val="006C03A8"/>
    <w:rsid w:val="006C09A4"/>
    <w:rsid w:val="006C0B65"/>
    <w:rsid w:val="006C0DCA"/>
    <w:rsid w:val="006C1018"/>
    <w:rsid w:val="006C13D5"/>
    <w:rsid w:val="006C1747"/>
    <w:rsid w:val="006C1A58"/>
    <w:rsid w:val="006C2A51"/>
    <w:rsid w:val="006C47F7"/>
    <w:rsid w:val="006C486E"/>
    <w:rsid w:val="006C532A"/>
    <w:rsid w:val="006C5A7D"/>
    <w:rsid w:val="006C5DB8"/>
    <w:rsid w:val="006C5F1B"/>
    <w:rsid w:val="006C6B3C"/>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D7DAE"/>
    <w:rsid w:val="006D7DCA"/>
    <w:rsid w:val="006E0577"/>
    <w:rsid w:val="006E1777"/>
    <w:rsid w:val="006E195E"/>
    <w:rsid w:val="006E1B3B"/>
    <w:rsid w:val="006E2174"/>
    <w:rsid w:val="006E2264"/>
    <w:rsid w:val="006E2343"/>
    <w:rsid w:val="006E24A4"/>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2CA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B66"/>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2E32"/>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0B5"/>
    <w:rsid w:val="007333FC"/>
    <w:rsid w:val="007336D2"/>
    <w:rsid w:val="00733B0C"/>
    <w:rsid w:val="007340FE"/>
    <w:rsid w:val="0073457A"/>
    <w:rsid w:val="00734A86"/>
    <w:rsid w:val="007350FB"/>
    <w:rsid w:val="0073527D"/>
    <w:rsid w:val="0073590C"/>
    <w:rsid w:val="00735925"/>
    <w:rsid w:val="0073604B"/>
    <w:rsid w:val="00736319"/>
    <w:rsid w:val="00736660"/>
    <w:rsid w:val="00736935"/>
    <w:rsid w:val="007372DF"/>
    <w:rsid w:val="007372ED"/>
    <w:rsid w:val="00737335"/>
    <w:rsid w:val="007377D7"/>
    <w:rsid w:val="007402EA"/>
    <w:rsid w:val="00740568"/>
    <w:rsid w:val="007407ED"/>
    <w:rsid w:val="00740E7A"/>
    <w:rsid w:val="00741068"/>
    <w:rsid w:val="007416ED"/>
    <w:rsid w:val="00741832"/>
    <w:rsid w:val="00741858"/>
    <w:rsid w:val="00742735"/>
    <w:rsid w:val="00742B32"/>
    <w:rsid w:val="00742DB2"/>
    <w:rsid w:val="00743245"/>
    <w:rsid w:val="00743846"/>
    <w:rsid w:val="007447D1"/>
    <w:rsid w:val="00744872"/>
    <w:rsid w:val="0074491F"/>
    <w:rsid w:val="00744AB1"/>
    <w:rsid w:val="00745073"/>
    <w:rsid w:val="00745A6A"/>
    <w:rsid w:val="00745B55"/>
    <w:rsid w:val="007474D0"/>
    <w:rsid w:val="00747A04"/>
    <w:rsid w:val="00747E53"/>
    <w:rsid w:val="00747F6F"/>
    <w:rsid w:val="00750126"/>
    <w:rsid w:val="007501A3"/>
    <w:rsid w:val="00750D9E"/>
    <w:rsid w:val="00750EEA"/>
    <w:rsid w:val="007513D9"/>
    <w:rsid w:val="00751935"/>
    <w:rsid w:val="00751A5E"/>
    <w:rsid w:val="00751FBD"/>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0E2E"/>
    <w:rsid w:val="00761089"/>
    <w:rsid w:val="00761B3C"/>
    <w:rsid w:val="0076261A"/>
    <w:rsid w:val="0076283B"/>
    <w:rsid w:val="00763354"/>
    <w:rsid w:val="00763553"/>
    <w:rsid w:val="00763663"/>
    <w:rsid w:val="00763DA4"/>
    <w:rsid w:val="00764161"/>
    <w:rsid w:val="00764808"/>
    <w:rsid w:val="00764A5D"/>
    <w:rsid w:val="00765269"/>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086D"/>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485"/>
    <w:rsid w:val="007816A6"/>
    <w:rsid w:val="007817FD"/>
    <w:rsid w:val="007824BB"/>
    <w:rsid w:val="0078252D"/>
    <w:rsid w:val="007825DC"/>
    <w:rsid w:val="00782664"/>
    <w:rsid w:val="00782909"/>
    <w:rsid w:val="00782BF1"/>
    <w:rsid w:val="007838C3"/>
    <w:rsid w:val="00783BA6"/>
    <w:rsid w:val="007843CB"/>
    <w:rsid w:val="00784510"/>
    <w:rsid w:val="0078484D"/>
    <w:rsid w:val="00784A03"/>
    <w:rsid w:val="00784E8A"/>
    <w:rsid w:val="00784EAF"/>
    <w:rsid w:val="0078550F"/>
    <w:rsid w:val="00785D84"/>
    <w:rsid w:val="00786186"/>
    <w:rsid w:val="007868A2"/>
    <w:rsid w:val="007870AF"/>
    <w:rsid w:val="007878C3"/>
    <w:rsid w:val="00787BD6"/>
    <w:rsid w:val="00787FFD"/>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6ED9"/>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983"/>
    <w:rsid w:val="007C4C71"/>
    <w:rsid w:val="007C4D95"/>
    <w:rsid w:val="007C4F51"/>
    <w:rsid w:val="007C51C6"/>
    <w:rsid w:val="007C53BB"/>
    <w:rsid w:val="007C598E"/>
    <w:rsid w:val="007C60ED"/>
    <w:rsid w:val="007C6128"/>
    <w:rsid w:val="007C664E"/>
    <w:rsid w:val="007C683D"/>
    <w:rsid w:val="007C6EEC"/>
    <w:rsid w:val="007C7087"/>
    <w:rsid w:val="007C730D"/>
    <w:rsid w:val="007C798F"/>
    <w:rsid w:val="007D044C"/>
    <w:rsid w:val="007D126E"/>
    <w:rsid w:val="007D191A"/>
    <w:rsid w:val="007D1B0E"/>
    <w:rsid w:val="007D1D11"/>
    <w:rsid w:val="007D2627"/>
    <w:rsid w:val="007D2663"/>
    <w:rsid w:val="007D2981"/>
    <w:rsid w:val="007D29C4"/>
    <w:rsid w:val="007D2A34"/>
    <w:rsid w:val="007D2FBE"/>
    <w:rsid w:val="007D3006"/>
    <w:rsid w:val="007D3246"/>
    <w:rsid w:val="007D3ABC"/>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788"/>
    <w:rsid w:val="007E090B"/>
    <w:rsid w:val="007E0BE2"/>
    <w:rsid w:val="007E15A6"/>
    <w:rsid w:val="007E165D"/>
    <w:rsid w:val="007E29B0"/>
    <w:rsid w:val="007E3163"/>
    <w:rsid w:val="007E3335"/>
    <w:rsid w:val="007E3B44"/>
    <w:rsid w:val="007E3D0A"/>
    <w:rsid w:val="007E3D24"/>
    <w:rsid w:val="007E3F7F"/>
    <w:rsid w:val="007E3FEC"/>
    <w:rsid w:val="007E43CB"/>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65F"/>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5FC"/>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7AC"/>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4C16"/>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4E6A"/>
    <w:rsid w:val="008855D6"/>
    <w:rsid w:val="008857E4"/>
    <w:rsid w:val="00885B1C"/>
    <w:rsid w:val="00885C69"/>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94F"/>
    <w:rsid w:val="00897A3B"/>
    <w:rsid w:val="00897D01"/>
    <w:rsid w:val="00897E7A"/>
    <w:rsid w:val="008A004E"/>
    <w:rsid w:val="008A00A5"/>
    <w:rsid w:val="008A0A8F"/>
    <w:rsid w:val="008A0CC2"/>
    <w:rsid w:val="008A184B"/>
    <w:rsid w:val="008A1A7F"/>
    <w:rsid w:val="008A1B25"/>
    <w:rsid w:val="008A1DE4"/>
    <w:rsid w:val="008A2230"/>
    <w:rsid w:val="008A26A6"/>
    <w:rsid w:val="008A27B1"/>
    <w:rsid w:val="008A2984"/>
    <w:rsid w:val="008A2BC7"/>
    <w:rsid w:val="008A2CD1"/>
    <w:rsid w:val="008A2EEC"/>
    <w:rsid w:val="008A3368"/>
    <w:rsid w:val="008A3A29"/>
    <w:rsid w:val="008A3E47"/>
    <w:rsid w:val="008A3E82"/>
    <w:rsid w:val="008A40BE"/>
    <w:rsid w:val="008A40C1"/>
    <w:rsid w:val="008A41B7"/>
    <w:rsid w:val="008A48EC"/>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BCD"/>
    <w:rsid w:val="008B5E24"/>
    <w:rsid w:val="008B6004"/>
    <w:rsid w:val="008B641C"/>
    <w:rsid w:val="008B6530"/>
    <w:rsid w:val="008B692F"/>
    <w:rsid w:val="008B693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6D69"/>
    <w:rsid w:val="008E753F"/>
    <w:rsid w:val="008E756F"/>
    <w:rsid w:val="008E78AB"/>
    <w:rsid w:val="008E7A3F"/>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BE7"/>
    <w:rsid w:val="00910D82"/>
    <w:rsid w:val="00911645"/>
    <w:rsid w:val="00911CAF"/>
    <w:rsid w:val="009127CA"/>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7F0"/>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B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0E5"/>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18F"/>
    <w:rsid w:val="009607A6"/>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8A8"/>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0C4D"/>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25"/>
    <w:rsid w:val="009C20A6"/>
    <w:rsid w:val="009C21E4"/>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25A"/>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26A4"/>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292"/>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07"/>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8D0"/>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3960"/>
    <w:rsid w:val="00A440B4"/>
    <w:rsid w:val="00A44553"/>
    <w:rsid w:val="00A44ABB"/>
    <w:rsid w:val="00A44C7A"/>
    <w:rsid w:val="00A44D77"/>
    <w:rsid w:val="00A44F12"/>
    <w:rsid w:val="00A45056"/>
    <w:rsid w:val="00A4547E"/>
    <w:rsid w:val="00A45BA7"/>
    <w:rsid w:val="00A45C76"/>
    <w:rsid w:val="00A46541"/>
    <w:rsid w:val="00A467D8"/>
    <w:rsid w:val="00A46835"/>
    <w:rsid w:val="00A46ADA"/>
    <w:rsid w:val="00A46FCA"/>
    <w:rsid w:val="00A5026F"/>
    <w:rsid w:val="00A506A9"/>
    <w:rsid w:val="00A509B8"/>
    <w:rsid w:val="00A50AD2"/>
    <w:rsid w:val="00A51727"/>
    <w:rsid w:val="00A518AD"/>
    <w:rsid w:val="00A51BE3"/>
    <w:rsid w:val="00A51D4B"/>
    <w:rsid w:val="00A51E23"/>
    <w:rsid w:val="00A5248E"/>
    <w:rsid w:val="00A52D01"/>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4FB"/>
    <w:rsid w:val="00A60B50"/>
    <w:rsid w:val="00A60B89"/>
    <w:rsid w:val="00A6152C"/>
    <w:rsid w:val="00A61C6B"/>
    <w:rsid w:val="00A61D77"/>
    <w:rsid w:val="00A6236F"/>
    <w:rsid w:val="00A62646"/>
    <w:rsid w:val="00A62852"/>
    <w:rsid w:val="00A62C18"/>
    <w:rsid w:val="00A63179"/>
    <w:rsid w:val="00A63CB8"/>
    <w:rsid w:val="00A653C2"/>
    <w:rsid w:val="00A653FD"/>
    <w:rsid w:val="00A65921"/>
    <w:rsid w:val="00A6604E"/>
    <w:rsid w:val="00A66293"/>
    <w:rsid w:val="00A6635C"/>
    <w:rsid w:val="00A66909"/>
    <w:rsid w:val="00A67113"/>
    <w:rsid w:val="00A6735D"/>
    <w:rsid w:val="00A679F2"/>
    <w:rsid w:val="00A67A99"/>
    <w:rsid w:val="00A67B3D"/>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424"/>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6E73"/>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229"/>
    <w:rsid w:val="00AA550C"/>
    <w:rsid w:val="00AA5728"/>
    <w:rsid w:val="00AA5C82"/>
    <w:rsid w:val="00AA5E33"/>
    <w:rsid w:val="00AA66AB"/>
    <w:rsid w:val="00AA6933"/>
    <w:rsid w:val="00AA6DC9"/>
    <w:rsid w:val="00AA6F5D"/>
    <w:rsid w:val="00AA70B6"/>
    <w:rsid w:val="00AA7F1E"/>
    <w:rsid w:val="00AB0306"/>
    <w:rsid w:val="00AB035F"/>
    <w:rsid w:val="00AB04F9"/>
    <w:rsid w:val="00AB0FFB"/>
    <w:rsid w:val="00AB1668"/>
    <w:rsid w:val="00AB1B4F"/>
    <w:rsid w:val="00AB1C29"/>
    <w:rsid w:val="00AB1D15"/>
    <w:rsid w:val="00AB20C7"/>
    <w:rsid w:val="00AB2492"/>
    <w:rsid w:val="00AB2AD7"/>
    <w:rsid w:val="00AB2C55"/>
    <w:rsid w:val="00AB3BC2"/>
    <w:rsid w:val="00AB3DCD"/>
    <w:rsid w:val="00AB3E05"/>
    <w:rsid w:val="00AB449E"/>
    <w:rsid w:val="00AB49C5"/>
    <w:rsid w:val="00AB518C"/>
    <w:rsid w:val="00AB566F"/>
    <w:rsid w:val="00AB5EFA"/>
    <w:rsid w:val="00AB6671"/>
    <w:rsid w:val="00AB6B62"/>
    <w:rsid w:val="00AB6EED"/>
    <w:rsid w:val="00AB6F4E"/>
    <w:rsid w:val="00AB7069"/>
    <w:rsid w:val="00AB71D5"/>
    <w:rsid w:val="00AB72BF"/>
    <w:rsid w:val="00AB78BF"/>
    <w:rsid w:val="00AB78CD"/>
    <w:rsid w:val="00AB7FA0"/>
    <w:rsid w:val="00AC02C4"/>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6E6E"/>
    <w:rsid w:val="00AC7003"/>
    <w:rsid w:val="00AC7047"/>
    <w:rsid w:val="00AC7C05"/>
    <w:rsid w:val="00AC7CEA"/>
    <w:rsid w:val="00AC7DD3"/>
    <w:rsid w:val="00AC7DF8"/>
    <w:rsid w:val="00AC7EF9"/>
    <w:rsid w:val="00AD0108"/>
    <w:rsid w:val="00AD01BB"/>
    <w:rsid w:val="00AD02E8"/>
    <w:rsid w:val="00AD0301"/>
    <w:rsid w:val="00AD0520"/>
    <w:rsid w:val="00AD095B"/>
    <w:rsid w:val="00AD09A2"/>
    <w:rsid w:val="00AD09ED"/>
    <w:rsid w:val="00AD0A31"/>
    <w:rsid w:val="00AD0BED"/>
    <w:rsid w:val="00AD0E10"/>
    <w:rsid w:val="00AD0E6B"/>
    <w:rsid w:val="00AD0F1A"/>
    <w:rsid w:val="00AD1F6E"/>
    <w:rsid w:val="00AD2081"/>
    <w:rsid w:val="00AD29C9"/>
    <w:rsid w:val="00AD480B"/>
    <w:rsid w:val="00AD5994"/>
    <w:rsid w:val="00AD637F"/>
    <w:rsid w:val="00AE01D1"/>
    <w:rsid w:val="00AE112D"/>
    <w:rsid w:val="00AE129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5F2D"/>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B6F"/>
    <w:rsid w:val="00AF31C6"/>
    <w:rsid w:val="00AF33A3"/>
    <w:rsid w:val="00AF3E9F"/>
    <w:rsid w:val="00AF43F4"/>
    <w:rsid w:val="00AF4D77"/>
    <w:rsid w:val="00AF4F2C"/>
    <w:rsid w:val="00AF530F"/>
    <w:rsid w:val="00AF565F"/>
    <w:rsid w:val="00AF5AD7"/>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0C25"/>
    <w:rsid w:val="00B110D2"/>
    <w:rsid w:val="00B11881"/>
    <w:rsid w:val="00B11AC6"/>
    <w:rsid w:val="00B11C21"/>
    <w:rsid w:val="00B11F6C"/>
    <w:rsid w:val="00B12A20"/>
    <w:rsid w:val="00B12FE0"/>
    <w:rsid w:val="00B13942"/>
    <w:rsid w:val="00B13E1C"/>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37CB"/>
    <w:rsid w:val="00B245C6"/>
    <w:rsid w:val="00B24DB2"/>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8D6"/>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962"/>
    <w:rsid w:val="00B43A1E"/>
    <w:rsid w:val="00B43C9C"/>
    <w:rsid w:val="00B44509"/>
    <w:rsid w:val="00B44A2E"/>
    <w:rsid w:val="00B44AF7"/>
    <w:rsid w:val="00B44DFB"/>
    <w:rsid w:val="00B45483"/>
    <w:rsid w:val="00B45D7E"/>
    <w:rsid w:val="00B45F6E"/>
    <w:rsid w:val="00B4660F"/>
    <w:rsid w:val="00B46750"/>
    <w:rsid w:val="00B4693A"/>
    <w:rsid w:val="00B46C08"/>
    <w:rsid w:val="00B46C2A"/>
    <w:rsid w:val="00B4723C"/>
    <w:rsid w:val="00B47B8A"/>
    <w:rsid w:val="00B5093C"/>
    <w:rsid w:val="00B510D5"/>
    <w:rsid w:val="00B510FD"/>
    <w:rsid w:val="00B515EE"/>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C1F"/>
    <w:rsid w:val="00B56E4F"/>
    <w:rsid w:val="00B576BC"/>
    <w:rsid w:val="00B578AD"/>
    <w:rsid w:val="00B603DD"/>
    <w:rsid w:val="00B60CB4"/>
    <w:rsid w:val="00B6189F"/>
    <w:rsid w:val="00B61F31"/>
    <w:rsid w:val="00B62E26"/>
    <w:rsid w:val="00B62E52"/>
    <w:rsid w:val="00B633B1"/>
    <w:rsid w:val="00B633F6"/>
    <w:rsid w:val="00B636C3"/>
    <w:rsid w:val="00B63B54"/>
    <w:rsid w:val="00B6506A"/>
    <w:rsid w:val="00B652AC"/>
    <w:rsid w:val="00B65810"/>
    <w:rsid w:val="00B6616F"/>
    <w:rsid w:val="00B66DA6"/>
    <w:rsid w:val="00B66EB3"/>
    <w:rsid w:val="00B6704F"/>
    <w:rsid w:val="00B673BB"/>
    <w:rsid w:val="00B67A1F"/>
    <w:rsid w:val="00B67E0A"/>
    <w:rsid w:val="00B703F8"/>
    <w:rsid w:val="00B70841"/>
    <w:rsid w:val="00B70851"/>
    <w:rsid w:val="00B70966"/>
    <w:rsid w:val="00B7123F"/>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6D"/>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985"/>
    <w:rsid w:val="00B940FB"/>
    <w:rsid w:val="00B947C9"/>
    <w:rsid w:val="00B947CA"/>
    <w:rsid w:val="00B94AC1"/>
    <w:rsid w:val="00B94BA1"/>
    <w:rsid w:val="00B950B4"/>
    <w:rsid w:val="00B951F0"/>
    <w:rsid w:val="00B95AF0"/>
    <w:rsid w:val="00B95BAC"/>
    <w:rsid w:val="00B95C5E"/>
    <w:rsid w:val="00B9604A"/>
    <w:rsid w:val="00B96877"/>
    <w:rsid w:val="00B96BA0"/>
    <w:rsid w:val="00B96D0E"/>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BBC"/>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88B"/>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81D"/>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68E"/>
    <w:rsid w:val="00BF0A2D"/>
    <w:rsid w:val="00BF0E9E"/>
    <w:rsid w:val="00BF1A6C"/>
    <w:rsid w:val="00BF1B98"/>
    <w:rsid w:val="00BF1D9A"/>
    <w:rsid w:val="00BF260D"/>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749"/>
    <w:rsid w:val="00C308CE"/>
    <w:rsid w:val="00C30F56"/>
    <w:rsid w:val="00C30FE9"/>
    <w:rsid w:val="00C3107D"/>
    <w:rsid w:val="00C31233"/>
    <w:rsid w:val="00C3154E"/>
    <w:rsid w:val="00C316D6"/>
    <w:rsid w:val="00C31723"/>
    <w:rsid w:val="00C31FBD"/>
    <w:rsid w:val="00C32185"/>
    <w:rsid w:val="00C3271A"/>
    <w:rsid w:val="00C32F4D"/>
    <w:rsid w:val="00C331B8"/>
    <w:rsid w:val="00C333E7"/>
    <w:rsid w:val="00C33504"/>
    <w:rsid w:val="00C3364C"/>
    <w:rsid w:val="00C337B0"/>
    <w:rsid w:val="00C33EF3"/>
    <w:rsid w:val="00C33FBD"/>
    <w:rsid w:val="00C34190"/>
    <w:rsid w:val="00C3488A"/>
    <w:rsid w:val="00C35258"/>
    <w:rsid w:val="00C361F9"/>
    <w:rsid w:val="00C3631C"/>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03D"/>
    <w:rsid w:val="00C50467"/>
    <w:rsid w:val="00C5053A"/>
    <w:rsid w:val="00C50906"/>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5E2B"/>
    <w:rsid w:val="00C561BF"/>
    <w:rsid w:val="00C5634E"/>
    <w:rsid w:val="00C56B40"/>
    <w:rsid w:val="00C573FF"/>
    <w:rsid w:val="00C57427"/>
    <w:rsid w:val="00C57ECA"/>
    <w:rsid w:val="00C602CD"/>
    <w:rsid w:val="00C60751"/>
    <w:rsid w:val="00C60B92"/>
    <w:rsid w:val="00C60DAB"/>
    <w:rsid w:val="00C60EC5"/>
    <w:rsid w:val="00C60FB0"/>
    <w:rsid w:val="00C610D0"/>
    <w:rsid w:val="00C6124B"/>
    <w:rsid w:val="00C6126C"/>
    <w:rsid w:val="00C612DD"/>
    <w:rsid w:val="00C6145E"/>
    <w:rsid w:val="00C61772"/>
    <w:rsid w:val="00C61C4C"/>
    <w:rsid w:val="00C61CD9"/>
    <w:rsid w:val="00C63306"/>
    <w:rsid w:val="00C63335"/>
    <w:rsid w:val="00C63407"/>
    <w:rsid w:val="00C63692"/>
    <w:rsid w:val="00C63A6E"/>
    <w:rsid w:val="00C63AE5"/>
    <w:rsid w:val="00C63BBE"/>
    <w:rsid w:val="00C63D5D"/>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0BF0"/>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C1C"/>
    <w:rsid w:val="00C93D22"/>
    <w:rsid w:val="00C93E61"/>
    <w:rsid w:val="00C9425E"/>
    <w:rsid w:val="00C944F4"/>
    <w:rsid w:val="00C948E0"/>
    <w:rsid w:val="00C957CF"/>
    <w:rsid w:val="00C95811"/>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BE8"/>
    <w:rsid w:val="00CA4C5A"/>
    <w:rsid w:val="00CA4FDA"/>
    <w:rsid w:val="00CA51F5"/>
    <w:rsid w:val="00CA5265"/>
    <w:rsid w:val="00CA53E2"/>
    <w:rsid w:val="00CA5A33"/>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3EE6"/>
    <w:rsid w:val="00CB431C"/>
    <w:rsid w:val="00CB45D2"/>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6CCE"/>
    <w:rsid w:val="00CC72C9"/>
    <w:rsid w:val="00CC7DEB"/>
    <w:rsid w:val="00CD04A0"/>
    <w:rsid w:val="00CD05CA"/>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CE8"/>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CF7C67"/>
    <w:rsid w:val="00D00169"/>
    <w:rsid w:val="00D005AB"/>
    <w:rsid w:val="00D007BF"/>
    <w:rsid w:val="00D008F8"/>
    <w:rsid w:val="00D00973"/>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3D"/>
    <w:rsid w:val="00D05592"/>
    <w:rsid w:val="00D059A4"/>
    <w:rsid w:val="00D06029"/>
    <w:rsid w:val="00D06210"/>
    <w:rsid w:val="00D0694B"/>
    <w:rsid w:val="00D0749A"/>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138"/>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CD0"/>
    <w:rsid w:val="00D36D82"/>
    <w:rsid w:val="00D36F8E"/>
    <w:rsid w:val="00D40284"/>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EFF"/>
    <w:rsid w:val="00D44F40"/>
    <w:rsid w:val="00D458C9"/>
    <w:rsid w:val="00D46BE1"/>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985"/>
    <w:rsid w:val="00D56E7B"/>
    <w:rsid w:val="00D56EB4"/>
    <w:rsid w:val="00D56F1B"/>
    <w:rsid w:val="00D56FC3"/>
    <w:rsid w:val="00D57A4B"/>
    <w:rsid w:val="00D57BD4"/>
    <w:rsid w:val="00D57C32"/>
    <w:rsid w:val="00D57DDF"/>
    <w:rsid w:val="00D57E28"/>
    <w:rsid w:val="00D6003A"/>
    <w:rsid w:val="00D60051"/>
    <w:rsid w:val="00D602EE"/>
    <w:rsid w:val="00D60A8E"/>
    <w:rsid w:val="00D60D2D"/>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45"/>
    <w:rsid w:val="00D65E95"/>
    <w:rsid w:val="00D66269"/>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4E5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C95"/>
    <w:rsid w:val="00D84D98"/>
    <w:rsid w:val="00D85143"/>
    <w:rsid w:val="00D859A0"/>
    <w:rsid w:val="00D8626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97EB2"/>
    <w:rsid w:val="00DA00C3"/>
    <w:rsid w:val="00DA01F3"/>
    <w:rsid w:val="00DA0411"/>
    <w:rsid w:val="00DA085B"/>
    <w:rsid w:val="00DA1097"/>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4EC"/>
    <w:rsid w:val="00DB2124"/>
    <w:rsid w:val="00DB2E8C"/>
    <w:rsid w:val="00DB2F0F"/>
    <w:rsid w:val="00DB3033"/>
    <w:rsid w:val="00DB304B"/>
    <w:rsid w:val="00DB3FD3"/>
    <w:rsid w:val="00DB433E"/>
    <w:rsid w:val="00DB4456"/>
    <w:rsid w:val="00DB44FC"/>
    <w:rsid w:val="00DB464C"/>
    <w:rsid w:val="00DB4D98"/>
    <w:rsid w:val="00DB524A"/>
    <w:rsid w:val="00DB52C9"/>
    <w:rsid w:val="00DB586B"/>
    <w:rsid w:val="00DB5D24"/>
    <w:rsid w:val="00DB6087"/>
    <w:rsid w:val="00DB608E"/>
    <w:rsid w:val="00DB67E8"/>
    <w:rsid w:val="00DB68F8"/>
    <w:rsid w:val="00DB714F"/>
    <w:rsid w:val="00DB7400"/>
    <w:rsid w:val="00DB7ABF"/>
    <w:rsid w:val="00DC018F"/>
    <w:rsid w:val="00DC02DE"/>
    <w:rsid w:val="00DC0A49"/>
    <w:rsid w:val="00DC13AD"/>
    <w:rsid w:val="00DC15C1"/>
    <w:rsid w:val="00DC17A5"/>
    <w:rsid w:val="00DC2405"/>
    <w:rsid w:val="00DC3122"/>
    <w:rsid w:val="00DC3829"/>
    <w:rsid w:val="00DC3B2D"/>
    <w:rsid w:val="00DC41E2"/>
    <w:rsid w:val="00DC4620"/>
    <w:rsid w:val="00DC54F7"/>
    <w:rsid w:val="00DC5692"/>
    <w:rsid w:val="00DC56E0"/>
    <w:rsid w:val="00DC61CC"/>
    <w:rsid w:val="00DC65A3"/>
    <w:rsid w:val="00DC7115"/>
    <w:rsid w:val="00DC7BBE"/>
    <w:rsid w:val="00DC7EA6"/>
    <w:rsid w:val="00DD036D"/>
    <w:rsid w:val="00DD0C22"/>
    <w:rsid w:val="00DD0D07"/>
    <w:rsid w:val="00DD102F"/>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5DD"/>
    <w:rsid w:val="00DD661D"/>
    <w:rsid w:val="00DD672A"/>
    <w:rsid w:val="00DD6C08"/>
    <w:rsid w:val="00DD770B"/>
    <w:rsid w:val="00DD7A99"/>
    <w:rsid w:val="00DD7B9B"/>
    <w:rsid w:val="00DD7CC2"/>
    <w:rsid w:val="00DD7E6B"/>
    <w:rsid w:val="00DE0AFE"/>
    <w:rsid w:val="00DE12B2"/>
    <w:rsid w:val="00DE1564"/>
    <w:rsid w:val="00DE1632"/>
    <w:rsid w:val="00DE18A2"/>
    <w:rsid w:val="00DE191D"/>
    <w:rsid w:val="00DE2255"/>
    <w:rsid w:val="00DE23CA"/>
    <w:rsid w:val="00DE26C4"/>
    <w:rsid w:val="00DE28E0"/>
    <w:rsid w:val="00DE2B7B"/>
    <w:rsid w:val="00DE2CB7"/>
    <w:rsid w:val="00DE2DC0"/>
    <w:rsid w:val="00DE39E0"/>
    <w:rsid w:val="00DE3E08"/>
    <w:rsid w:val="00DE41E9"/>
    <w:rsid w:val="00DE41EC"/>
    <w:rsid w:val="00DE447E"/>
    <w:rsid w:val="00DE48E0"/>
    <w:rsid w:val="00DE48EC"/>
    <w:rsid w:val="00DE4D83"/>
    <w:rsid w:val="00DE527C"/>
    <w:rsid w:val="00DE5510"/>
    <w:rsid w:val="00DE556A"/>
    <w:rsid w:val="00DE5764"/>
    <w:rsid w:val="00DE6757"/>
    <w:rsid w:val="00DE7004"/>
    <w:rsid w:val="00DE702B"/>
    <w:rsid w:val="00DE7B07"/>
    <w:rsid w:val="00DE7C1C"/>
    <w:rsid w:val="00DF0AAD"/>
    <w:rsid w:val="00DF0D42"/>
    <w:rsid w:val="00DF18D6"/>
    <w:rsid w:val="00DF1B3A"/>
    <w:rsid w:val="00DF204C"/>
    <w:rsid w:val="00DF234D"/>
    <w:rsid w:val="00DF2595"/>
    <w:rsid w:val="00DF25EC"/>
    <w:rsid w:val="00DF267E"/>
    <w:rsid w:val="00DF273E"/>
    <w:rsid w:val="00DF3066"/>
    <w:rsid w:val="00DF3127"/>
    <w:rsid w:val="00DF3A62"/>
    <w:rsid w:val="00DF3D0C"/>
    <w:rsid w:val="00DF40AD"/>
    <w:rsid w:val="00DF4772"/>
    <w:rsid w:val="00DF4AA5"/>
    <w:rsid w:val="00DF4E6C"/>
    <w:rsid w:val="00DF50B3"/>
    <w:rsid w:val="00DF51CD"/>
    <w:rsid w:val="00DF53F7"/>
    <w:rsid w:val="00DF5C36"/>
    <w:rsid w:val="00DF5C8D"/>
    <w:rsid w:val="00DF5FA5"/>
    <w:rsid w:val="00DF6F9C"/>
    <w:rsid w:val="00E00F39"/>
    <w:rsid w:val="00E01101"/>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2EC0"/>
    <w:rsid w:val="00E13596"/>
    <w:rsid w:val="00E135EA"/>
    <w:rsid w:val="00E139D1"/>
    <w:rsid w:val="00E13A9A"/>
    <w:rsid w:val="00E142C6"/>
    <w:rsid w:val="00E14D32"/>
    <w:rsid w:val="00E1526F"/>
    <w:rsid w:val="00E15278"/>
    <w:rsid w:val="00E156AE"/>
    <w:rsid w:val="00E15FFF"/>
    <w:rsid w:val="00E16063"/>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33C"/>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4F10"/>
    <w:rsid w:val="00E552EB"/>
    <w:rsid w:val="00E563AC"/>
    <w:rsid w:val="00E56A81"/>
    <w:rsid w:val="00E56B84"/>
    <w:rsid w:val="00E56BD9"/>
    <w:rsid w:val="00E56D63"/>
    <w:rsid w:val="00E5743A"/>
    <w:rsid w:val="00E575A3"/>
    <w:rsid w:val="00E576FB"/>
    <w:rsid w:val="00E57A46"/>
    <w:rsid w:val="00E57B2A"/>
    <w:rsid w:val="00E60135"/>
    <w:rsid w:val="00E60654"/>
    <w:rsid w:val="00E6124B"/>
    <w:rsid w:val="00E61430"/>
    <w:rsid w:val="00E615E4"/>
    <w:rsid w:val="00E61627"/>
    <w:rsid w:val="00E61BA0"/>
    <w:rsid w:val="00E62139"/>
    <w:rsid w:val="00E622F4"/>
    <w:rsid w:val="00E62305"/>
    <w:rsid w:val="00E62D2B"/>
    <w:rsid w:val="00E62EA8"/>
    <w:rsid w:val="00E630DB"/>
    <w:rsid w:val="00E635C2"/>
    <w:rsid w:val="00E63F28"/>
    <w:rsid w:val="00E64791"/>
    <w:rsid w:val="00E6482C"/>
    <w:rsid w:val="00E64D78"/>
    <w:rsid w:val="00E64DC3"/>
    <w:rsid w:val="00E64EB8"/>
    <w:rsid w:val="00E65341"/>
    <w:rsid w:val="00E6537C"/>
    <w:rsid w:val="00E653FE"/>
    <w:rsid w:val="00E6553C"/>
    <w:rsid w:val="00E65876"/>
    <w:rsid w:val="00E659C4"/>
    <w:rsid w:val="00E660BD"/>
    <w:rsid w:val="00E6617D"/>
    <w:rsid w:val="00E66415"/>
    <w:rsid w:val="00E6643E"/>
    <w:rsid w:val="00E6652D"/>
    <w:rsid w:val="00E678A3"/>
    <w:rsid w:val="00E67CEC"/>
    <w:rsid w:val="00E67FD8"/>
    <w:rsid w:val="00E7008A"/>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2C"/>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B16"/>
    <w:rsid w:val="00EB2184"/>
    <w:rsid w:val="00EB242F"/>
    <w:rsid w:val="00EB2536"/>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5CB"/>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4F96"/>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4EE"/>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3CC"/>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6B26"/>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38C"/>
    <w:rsid w:val="00F24483"/>
    <w:rsid w:val="00F247D7"/>
    <w:rsid w:val="00F2496B"/>
    <w:rsid w:val="00F24B0B"/>
    <w:rsid w:val="00F24C38"/>
    <w:rsid w:val="00F24D12"/>
    <w:rsid w:val="00F24F17"/>
    <w:rsid w:val="00F25244"/>
    <w:rsid w:val="00F263CF"/>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2AD"/>
    <w:rsid w:val="00F33952"/>
    <w:rsid w:val="00F34754"/>
    <w:rsid w:val="00F3511F"/>
    <w:rsid w:val="00F3548C"/>
    <w:rsid w:val="00F356C0"/>
    <w:rsid w:val="00F35735"/>
    <w:rsid w:val="00F35759"/>
    <w:rsid w:val="00F35C6F"/>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6D2"/>
    <w:rsid w:val="00F42759"/>
    <w:rsid w:val="00F427B8"/>
    <w:rsid w:val="00F4305E"/>
    <w:rsid w:val="00F4334D"/>
    <w:rsid w:val="00F438C5"/>
    <w:rsid w:val="00F4399E"/>
    <w:rsid w:val="00F43D78"/>
    <w:rsid w:val="00F43E44"/>
    <w:rsid w:val="00F441B2"/>
    <w:rsid w:val="00F44B00"/>
    <w:rsid w:val="00F44E09"/>
    <w:rsid w:val="00F452F0"/>
    <w:rsid w:val="00F455D2"/>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6F9A"/>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283"/>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2DA"/>
    <w:rsid w:val="00F8430D"/>
    <w:rsid w:val="00F84621"/>
    <w:rsid w:val="00F84697"/>
    <w:rsid w:val="00F84A0A"/>
    <w:rsid w:val="00F85352"/>
    <w:rsid w:val="00F8539F"/>
    <w:rsid w:val="00F855A3"/>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20F"/>
    <w:rsid w:val="00F935DC"/>
    <w:rsid w:val="00F93604"/>
    <w:rsid w:val="00F93844"/>
    <w:rsid w:val="00F9485A"/>
    <w:rsid w:val="00F94A67"/>
    <w:rsid w:val="00F94B7B"/>
    <w:rsid w:val="00F94E52"/>
    <w:rsid w:val="00F94F71"/>
    <w:rsid w:val="00F95390"/>
    <w:rsid w:val="00F95486"/>
    <w:rsid w:val="00F9615B"/>
    <w:rsid w:val="00F96265"/>
    <w:rsid w:val="00F96864"/>
    <w:rsid w:val="00F97511"/>
    <w:rsid w:val="00F97548"/>
    <w:rsid w:val="00F97F79"/>
    <w:rsid w:val="00FA0408"/>
    <w:rsid w:val="00FA063C"/>
    <w:rsid w:val="00FA0651"/>
    <w:rsid w:val="00FA07A1"/>
    <w:rsid w:val="00FA0A8B"/>
    <w:rsid w:val="00FA0ABC"/>
    <w:rsid w:val="00FA1823"/>
    <w:rsid w:val="00FA2597"/>
    <w:rsid w:val="00FA46BC"/>
    <w:rsid w:val="00FA4CB2"/>
    <w:rsid w:val="00FA4CDE"/>
    <w:rsid w:val="00FA57BB"/>
    <w:rsid w:val="00FA57CE"/>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D2B"/>
    <w:rsid w:val="00FB7F72"/>
    <w:rsid w:val="00FB7FF4"/>
    <w:rsid w:val="00FC01A8"/>
    <w:rsid w:val="00FC065F"/>
    <w:rsid w:val="00FC08C2"/>
    <w:rsid w:val="00FC0900"/>
    <w:rsid w:val="00FC0B08"/>
    <w:rsid w:val="00FC0DBE"/>
    <w:rsid w:val="00FC0EE8"/>
    <w:rsid w:val="00FC0F5B"/>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BC7"/>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05B"/>
    <w:rsid w:val="00FF412F"/>
    <w:rsid w:val="00FF436C"/>
    <w:rsid w:val="00FF497C"/>
    <w:rsid w:val="00FF58A4"/>
    <w:rsid w:val="00FF594E"/>
    <w:rsid w:val="00FF5EA6"/>
    <w:rsid w:val="00FF5F02"/>
    <w:rsid w:val="00FF5F69"/>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2F4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3181837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1002704">
      <w:bodyDiv w:val="1"/>
      <w:marLeft w:val="0"/>
      <w:marRight w:val="0"/>
      <w:marTop w:val="0"/>
      <w:marBottom w:val="0"/>
      <w:divBdr>
        <w:top w:val="none" w:sz="0" w:space="0" w:color="auto"/>
        <w:left w:val="none" w:sz="0" w:space="0" w:color="auto"/>
        <w:bottom w:val="none" w:sz="0" w:space="0" w:color="auto"/>
        <w:right w:val="none" w:sz="0" w:space="0" w:color="auto"/>
      </w:divBdr>
      <w:divsChild>
        <w:div w:id="1274284176">
          <w:marLeft w:val="274"/>
          <w:marRight w:val="0"/>
          <w:marTop w:val="96"/>
          <w:marBottom w:val="0"/>
          <w:divBdr>
            <w:top w:val="none" w:sz="0" w:space="0" w:color="auto"/>
            <w:left w:val="none" w:sz="0" w:space="0" w:color="auto"/>
            <w:bottom w:val="none" w:sz="0" w:space="0" w:color="auto"/>
            <w:right w:val="none" w:sz="0" w:space="0" w:color="auto"/>
          </w:divBdr>
        </w:div>
        <w:div w:id="1451431807">
          <w:marLeft w:val="850"/>
          <w:marRight w:val="0"/>
          <w:marTop w:val="96"/>
          <w:marBottom w:val="0"/>
          <w:divBdr>
            <w:top w:val="none" w:sz="0" w:space="0" w:color="auto"/>
            <w:left w:val="none" w:sz="0" w:space="0" w:color="auto"/>
            <w:bottom w:val="none" w:sz="0" w:space="0" w:color="auto"/>
            <w:right w:val="none" w:sz="0" w:space="0" w:color="auto"/>
          </w:divBdr>
        </w:div>
        <w:div w:id="113989547">
          <w:marLeft w:val="274"/>
          <w:marRight w:val="0"/>
          <w:marTop w:val="96"/>
          <w:marBottom w:val="0"/>
          <w:divBdr>
            <w:top w:val="none" w:sz="0" w:space="0" w:color="auto"/>
            <w:left w:val="none" w:sz="0" w:space="0" w:color="auto"/>
            <w:bottom w:val="none" w:sz="0" w:space="0" w:color="auto"/>
            <w:right w:val="none" w:sz="0" w:space="0" w:color="auto"/>
          </w:divBdr>
        </w:div>
        <w:div w:id="1588272226">
          <w:marLeft w:val="850"/>
          <w:marRight w:val="0"/>
          <w:marTop w:val="96"/>
          <w:marBottom w:val="0"/>
          <w:divBdr>
            <w:top w:val="none" w:sz="0" w:space="0" w:color="auto"/>
            <w:left w:val="none" w:sz="0" w:space="0" w:color="auto"/>
            <w:bottom w:val="none" w:sz="0" w:space="0" w:color="auto"/>
            <w:right w:val="none" w:sz="0" w:space="0" w:color="auto"/>
          </w:divBdr>
        </w:div>
        <w:div w:id="1890650280">
          <w:marLeft w:val="1411"/>
          <w:marRight w:val="0"/>
          <w:marTop w:val="96"/>
          <w:marBottom w:val="0"/>
          <w:divBdr>
            <w:top w:val="none" w:sz="0" w:space="0" w:color="auto"/>
            <w:left w:val="none" w:sz="0" w:space="0" w:color="auto"/>
            <w:bottom w:val="none" w:sz="0" w:space="0" w:color="auto"/>
            <w:right w:val="none" w:sz="0" w:space="0" w:color="auto"/>
          </w:divBdr>
        </w:div>
        <w:div w:id="1702702117">
          <w:marLeft w:val="850"/>
          <w:marRight w:val="0"/>
          <w:marTop w:val="96"/>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31596061">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5959259">
      <w:bodyDiv w:val="1"/>
      <w:marLeft w:val="0"/>
      <w:marRight w:val="0"/>
      <w:marTop w:val="0"/>
      <w:marBottom w:val="0"/>
      <w:divBdr>
        <w:top w:val="none" w:sz="0" w:space="0" w:color="auto"/>
        <w:left w:val="none" w:sz="0" w:space="0" w:color="auto"/>
        <w:bottom w:val="none" w:sz="0" w:space="0" w:color="auto"/>
        <w:right w:val="none" w:sz="0" w:space="0" w:color="auto"/>
      </w:divBdr>
      <w:divsChild>
        <w:div w:id="589462294">
          <w:marLeft w:val="274"/>
          <w:marRight w:val="0"/>
          <w:marTop w:val="96"/>
          <w:marBottom w:val="0"/>
          <w:divBdr>
            <w:top w:val="none" w:sz="0" w:space="0" w:color="auto"/>
            <w:left w:val="none" w:sz="0" w:space="0" w:color="auto"/>
            <w:bottom w:val="none" w:sz="0" w:space="0" w:color="auto"/>
            <w:right w:val="none" w:sz="0" w:space="0" w:color="auto"/>
          </w:divBdr>
        </w:div>
        <w:div w:id="79379561">
          <w:marLeft w:val="850"/>
          <w:marRight w:val="0"/>
          <w:marTop w:val="96"/>
          <w:marBottom w:val="0"/>
          <w:divBdr>
            <w:top w:val="none" w:sz="0" w:space="0" w:color="auto"/>
            <w:left w:val="none" w:sz="0" w:space="0" w:color="auto"/>
            <w:bottom w:val="none" w:sz="0" w:space="0" w:color="auto"/>
            <w:right w:val="none" w:sz="0" w:space="0" w:color="auto"/>
          </w:divBdr>
        </w:div>
        <w:div w:id="94328378">
          <w:marLeft w:val="274"/>
          <w:marRight w:val="0"/>
          <w:marTop w:val="96"/>
          <w:marBottom w:val="0"/>
          <w:divBdr>
            <w:top w:val="none" w:sz="0" w:space="0" w:color="auto"/>
            <w:left w:val="none" w:sz="0" w:space="0" w:color="auto"/>
            <w:bottom w:val="none" w:sz="0" w:space="0" w:color="auto"/>
            <w:right w:val="none" w:sz="0" w:space="0" w:color="auto"/>
          </w:divBdr>
        </w:div>
        <w:div w:id="74205969">
          <w:marLeft w:val="850"/>
          <w:marRight w:val="0"/>
          <w:marTop w:val="96"/>
          <w:marBottom w:val="0"/>
          <w:divBdr>
            <w:top w:val="none" w:sz="0" w:space="0" w:color="auto"/>
            <w:left w:val="none" w:sz="0" w:space="0" w:color="auto"/>
            <w:bottom w:val="none" w:sz="0" w:space="0" w:color="auto"/>
            <w:right w:val="none" w:sz="0" w:space="0" w:color="auto"/>
          </w:divBdr>
        </w:div>
        <w:div w:id="1116831309">
          <w:marLeft w:val="1411"/>
          <w:marRight w:val="0"/>
          <w:marTop w:val="96"/>
          <w:marBottom w:val="0"/>
          <w:divBdr>
            <w:top w:val="none" w:sz="0" w:space="0" w:color="auto"/>
            <w:left w:val="none" w:sz="0" w:space="0" w:color="auto"/>
            <w:bottom w:val="none" w:sz="0" w:space="0" w:color="auto"/>
            <w:right w:val="none" w:sz="0" w:space="0" w:color="auto"/>
          </w:divBdr>
        </w:div>
        <w:div w:id="1664746838">
          <w:marLeft w:val="850"/>
          <w:marRight w:val="0"/>
          <w:marTop w:val="96"/>
          <w:marBottom w:val="0"/>
          <w:divBdr>
            <w:top w:val="none" w:sz="0" w:space="0" w:color="auto"/>
            <w:left w:val="none" w:sz="0" w:space="0" w:color="auto"/>
            <w:bottom w:val="none" w:sz="0" w:space="0" w:color="auto"/>
            <w:right w:val="none" w:sz="0" w:space="0" w:color="auto"/>
          </w:divBdr>
        </w:div>
      </w:divsChild>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590041306">
      <w:bodyDiv w:val="1"/>
      <w:marLeft w:val="0"/>
      <w:marRight w:val="0"/>
      <w:marTop w:val="0"/>
      <w:marBottom w:val="0"/>
      <w:divBdr>
        <w:top w:val="none" w:sz="0" w:space="0" w:color="auto"/>
        <w:left w:val="none" w:sz="0" w:space="0" w:color="auto"/>
        <w:bottom w:val="none" w:sz="0" w:space="0" w:color="auto"/>
        <w:right w:val="none" w:sz="0" w:space="0" w:color="auto"/>
      </w:divBdr>
      <w:divsChild>
        <w:div w:id="1896240193">
          <w:marLeft w:val="547"/>
          <w:marRight w:val="0"/>
          <w:marTop w:val="106"/>
          <w:marBottom w:val="0"/>
          <w:divBdr>
            <w:top w:val="none" w:sz="0" w:space="0" w:color="auto"/>
            <w:left w:val="none" w:sz="0" w:space="0" w:color="auto"/>
            <w:bottom w:val="none" w:sz="0" w:space="0" w:color="auto"/>
            <w:right w:val="none" w:sz="0" w:space="0" w:color="auto"/>
          </w:divBdr>
        </w:div>
        <w:div w:id="399911778">
          <w:marLeft w:val="1166"/>
          <w:marRight w:val="0"/>
          <w:marTop w:val="96"/>
          <w:marBottom w:val="0"/>
          <w:divBdr>
            <w:top w:val="none" w:sz="0" w:space="0" w:color="auto"/>
            <w:left w:val="none" w:sz="0" w:space="0" w:color="auto"/>
            <w:bottom w:val="none" w:sz="0" w:space="0" w:color="auto"/>
            <w:right w:val="none" w:sz="0" w:space="0" w:color="auto"/>
          </w:divBdr>
        </w:div>
        <w:div w:id="441413982">
          <w:marLeft w:val="1800"/>
          <w:marRight w:val="0"/>
          <w:marTop w:val="82"/>
          <w:marBottom w:val="0"/>
          <w:divBdr>
            <w:top w:val="none" w:sz="0" w:space="0" w:color="auto"/>
            <w:left w:val="none" w:sz="0" w:space="0" w:color="auto"/>
            <w:bottom w:val="none" w:sz="0" w:space="0" w:color="auto"/>
            <w:right w:val="none" w:sz="0" w:space="0" w:color="auto"/>
          </w:divBdr>
        </w:div>
        <w:div w:id="1243374943">
          <w:marLeft w:val="2520"/>
          <w:marRight w:val="0"/>
          <w:marTop w:val="67"/>
          <w:marBottom w:val="0"/>
          <w:divBdr>
            <w:top w:val="none" w:sz="0" w:space="0" w:color="auto"/>
            <w:left w:val="none" w:sz="0" w:space="0" w:color="auto"/>
            <w:bottom w:val="none" w:sz="0" w:space="0" w:color="auto"/>
            <w:right w:val="none" w:sz="0" w:space="0" w:color="auto"/>
          </w:divBdr>
        </w:div>
        <w:div w:id="1641377936">
          <w:marLeft w:val="2520"/>
          <w:marRight w:val="0"/>
          <w:marTop w:val="67"/>
          <w:marBottom w:val="0"/>
          <w:divBdr>
            <w:top w:val="none" w:sz="0" w:space="0" w:color="auto"/>
            <w:left w:val="none" w:sz="0" w:space="0" w:color="auto"/>
            <w:bottom w:val="none" w:sz="0" w:space="0" w:color="auto"/>
            <w:right w:val="none" w:sz="0" w:space="0" w:color="auto"/>
          </w:divBdr>
        </w:div>
        <w:div w:id="1142846270">
          <w:marLeft w:val="3240"/>
          <w:marRight w:val="0"/>
          <w:marTop w:val="67"/>
          <w:marBottom w:val="0"/>
          <w:divBdr>
            <w:top w:val="none" w:sz="0" w:space="0" w:color="auto"/>
            <w:left w:val="none" w:sz="0" w:space="0" w:color="auto"/>
            <w:bottom w:val="none" w:sz="0" w:space="0" w:color="auto"/>
            <w:right w:val="none" w:sz="0" w:space="0" w:color="auto"/>
          </w:divBdr>
        </w:div>
        <w:div w:id="1734086610">
          <w:marLeft w:val="1166"/>
          <w:marRight w:val="0"/>
          <w:marTop w:val="96"/>
          <w:marBottom w:val="0"/>
          <w:divBdr>
            <w:top w:val="none" w:sz="0" w:space="0" w:color="auto"/>
            <w:left w:val="none" w:sz="0" w:space="0" w:color="auto"/>
            <w:bottom w:val="none" w:sz="0" w:space="0" w:color="auto"/>
            <w:right w:val="none" w:sz="0" w:space="0" w:color="auto"/>
          </w:divBdr>
        </w:div>
        <w:div w:id="2141266146">
          <w:marLeft w:val="1800"/>
          <w:marRight w:val="0"/>
          <w:marTop w:val="82"/>
          <w:marBottom w:val="0"/>
          <w:divBdr>
            <w:top w:val="none" w:sz="0" w:space="0" w:color="auto"/>
            <w:left w:val="none" w:sz="0" w:space="0" w:color="auto"/>
            <w:bottom w:val="none" w:sz="0" w:space="0" w:color="auto"/>
            <w:right w:val="none" w:sz="0" w:space="0" w:color="auto"/>
          </w:divBdr>
        </w:div>
        <w:div w:id="269705457">
          <w:marLeft w:val="2520"/>
          <w:marRight w:val="0"/>
          <w:marTop w:val="67"/>
          <w:marBottom w:val="0"/>
          <w:divBdr>
            <w:top w:val="none" w:sz="0" w:space="0" w:color="auto"/>
            <w:left w:val="none" w:sz="0" w:space="0" w:color="auto"/>
            <w:bottom w:val="none" w:sz="0" w:space="0" w:color="auto"/>
            <w:right w:val="none" w:sz="0" w:space="0" w:color="auto"/>
          </w:divBdr>
        </w:div>
        <w:div w:id="1414278571">
          <w:marLeft w:val="2520"/>
          <w:marRight w:val="0"/>
          <w:marTop w:val="67"/>
          <w:marBottom w:val="0"/>
          <w:divBdr>
            <w:top w:val="none" w:sz="0" w:space="0" w:color="auto"/>
            <w:left w:val="none" w:sz="0" w:space="0" w:color="auto"/>
            <w:bottom w:val="none" w:sz="0" w:space="0" w:color="auto"/>
            <w:right w:val="none" w:sz="0" w:space="0" w:color="auto"/>
          </w:divBdr>
        </w:div>
        <w:div w:id="1619406226">
          <w:marLeft w:val="2520"/>
          <w:marRight w:val="0"/>
          <w:marTop w:val="67"/>
          <w:marBottom w:val="0"/>
          <w:divBdr>
            <w:top w:val="none" w:sz="0" w:space="0" w:color="auto"/>
            <w:left w:val="none" w:sz="0" w:space="0" w:color="auto"/>
            <w:bottom w:val="none" w:sz="0" w:space="0" w:color="auto"/>
            <w:right w:val="none" w:sz="0" w:space="0" w:color="auto"/>
          </w:divBdr>
        </w:div>
        <w:div w:id="598683542">
          <w:marLeft w:val="2520"/>
          <w:marRight w:val="0"/>
          <w:marTop w:val="67"/>
          <w:marBottom w:val="0"/>
          <w:divBdr>
            <w:top w:val="none" w:sz="0" w:space="0" w:color="auto"/>
            <w:left w:val="none" w:sz="0" w:space="0" w:color="auto"/>
            <w:bottom w:val="none" w:sz="0" w:space="0" w:color="auto"/>
            <w:right w:val="none" w:sz="0" w:space="0" w:color="auto"/>
          </w:divBdr>
        </w:div>
        <w:div w:id="1180117259">
          <w:marLeft w:val="1800"/>
          <w:marRight w:val="0"/>
          <w:marTop w:val="82"/>
          <w:marBottom w:val="0"/>
          <w:divBdr>
            <w:top w:val="none" w:sz="0" w:space="0" w:color="auto"/>
            <w:left w:val="none" w:sz="0" w:space="0" w:color="auto"/>
            <w:bottom w:val="none" w:sz="0" w:space="0" w:color="auto"/>
            <w:right w:val="none" w:sz="0" w:space="0" w:color="auto"/>
          </w:divBdr>
        </w:div>
        <w:div w:id="1713075154">
          <w:marLeft w:val="1800"/>
          <w:marRight w:val="0"/>
          <w:marTop w:val="82"/>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126AE-026D-4A49-9700-53B8BDF78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926</Words>
  <Characters>5283</Characters>
  <Application>Microsoft Office Word</Application>
  <DocSecurity>0</DocSecurity>
  <Lines>44</Lines>
  <Paragraphs>12</Paragraphs>
  <ScaleCrop>false</ScaleCrop>
  <Company/>
  <LinksUpToDate>false</LinksUpToDate>
  <CharactersWithSpaces>6197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2017-10-03T03:08:00Z</dcterms:created>
  <dcterms:modified xsi:type="dcterms:W3CDTF">2017-10-03T03:09:00Z</dcterms:modified>
</cp:coreProperties>
</file>